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97797" w:rsidRPr="00D97797" w:rsidRDefault="00D97797" w:rsidP="00D97797">
      <w:pPr>
        <w:bidi w:val="0"/>
        <w:spacing w:after="0" w:line="240" w:lineRule="auto"/>
        <w:rPr>
          <w:b/>
          <w:bCs/>
        </w:rPr>
      </w:pPr>
      <w:r w:rsidRPr="00D97797">
        <w:rPr>
          <w:b/>
          <w:bCs/>
          <w:noProof/>
        </w:rPr>
        <w:drawing>
          <wp:inline distT="0" distB="0" distL="0" distR="0">
            <wp:extent cx="5943600" cy="723900"/>
            <wp:effectExtent l="0" t="0" r="0" b="0"/>
            <wp:docPr id="4881184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723900"/>
                    </a:xfrm>
                    <a:prstGeom prst="rect">
                      <a:avLst/>
                    </a:prstGeom>
                    <a:noFill/>
                    <a:ln>
                      <a:noFill/>
                    </a:ln>
                  </pic:spPr>
                </pic:pic>
              </a:graphicData>
            </a:graphic>
          </wp:inline>
        </w:drawing>
      </w:r>
    </w:p>
    <w:p w:rsidR="00D97797" w:rsidRDefault="00D97797" w:rsidP="00D97797">
      <w:pPr>
        <w:bidi w:val="0"/>
        <w:spacing w:after="0" w:line="240" w:lineRule="auto"/>
        <w:rPr>
          <w:b/>
          <w:bCs/>
        </w:rPr>
      </w:pPr>
    </w:p>
    <w:p w:rsidR="00D97797" w:rsidRDefault="00D97797" w:rsidP="00D97797">
      <w:pPr>
        <w:bidi w:val="0"/>
        <w:spacing w:after="0" w:line="240" w:lineRule="auto"/>
        <w:rPr>
          <w:b/>
          <w:bCs/>
        </w:rPr>
      </w:pPr>
    </w:p>
    <w:p w:rsidR="00A131B8" w:rsidRDefault="00A131B8" w:rsidP="00A131B8">
      <w:pPr>
        <w:bidi w:val="0"/>
        <w:spacing w:after="0" w:line="240" w:lineRule="auto"/>
        <w:rPr>
          <w:b/>
          <w:bCs/>
        </w:rPr>
      </w:pPr>
    </w:p>
    <w:p w:rsidR="00A131B8" w:rsidRDefault="00A131B8" w:rsidP="00A131B8">
      <w:pPr>
        <w:bidi w:val="0"/>
        <w:spacing w:after="0" w:line="240" w:lineRule="auto"/>
        <w:rPr>
          <w:b/>
          <w:bCs/>
        </w:rPr>
      </w:pPr>
    </w:p>
    <w:p w:rsidR="00A131B8" w:rsidRPr="00A131B8" w:rsidRDefault="00A131B8" w:rsidP="00A131B8">
      <w:pPr>
        <w:jc w:val="center"/>
        <w:rPr>
          <w:rFonts w:asciiTheme="majorBidi" w:hAnsiTheme="majorBidi" w:cstheme="majorBidi" w:hint="cs"/>
          <w:sz w:val="20"/>
          <w:szCs w:val="20"/>
          <w:rtl/>
        </w:rPr>
      </w:pPr>
      <w:r w:rsidRPr="00A131B8">
        <w:rPr>
          <w:rFonts w:asciiTheme="majorBidi" w:hAnsiTheme="majorBidi" w:cstheme="majorBidi"/>
          <w:b/>
          <w:bCs/>
        </w:rPr>
        <w:t xml:space="preserve">First Author </w:t>
      </w:r>
      <w:r>
        <w:rPr>
          <w:rFonts w:asciiTheme="majorBidi" w:hAnsiTheme="majorBidi" w:cstheme="majorBidi"/>
          <w:b/>
          <w:bCs/>
          <w:sz w:val="20"/>
          <w:szCs w:val="20"/>
        </w:rPr>
        <w:t>:</w:t>
      </w:r>
      <w:r w:rsidRPr="00A131B8">
        <w:rPr>
          <w:rFonts w:asciiTheme="majorBidi" w:hAnsiTheme="majorBidi" w:cstheme="majorBidi"/>
          <w:b/>
          <w:bCs/>
          <w:sz w:val="20"/>
          <w:szCs w:val="20"/>
        </w:rPr>
        <w:t>Nazanini Fatemeh Amer</w:t>
      </w:r>
      <w:r w:rsidRPr="00A131B8">
        <w:rPr>
          <w:rFonts w:asciiTheme="majorBidi" w:hAnsiTheme="majorBidi" w:cstheme="majorBidi"/>
          <w:sz w:val="20"/>
          <w:szCs w:val="20"/>
        </w:rPr>
        <w:t>i</w:t>
      </w:r>
    </w:p>
    <w:p w:rsidR="00A131B8" w:rsidRDefault="00A131B8" w:rsidP="00A131B8">
      <w:pPr>
        <w:jc w:val="center"/>
        <w:rPr>
          <w:rFonts w:cs="Nazanin"/>
          <w:b/>
          <w:bCs/>
          <w:sz w:val="16"/>
          <w:szCs w:val="16"/>
        </w:rPr>
      </w:pPr>
      <w:r>
        <w:rPr>
          <w:rFonts w:cs="Nazanin"/>
          <w:b/>
          <w:bCs/>
        </w:rPr>
        <w:t>Affiliation :</w:t>
      </w:r>
      <w:r>
        <w:rPr>
          <w:rFonts w:cs="Nazanin"/>
          <w:sz w:val="28"/>
          <w:szCs w:val="36"/>
        </w:rPr>
        <w:t xml:space="preserve"> </w:t>
      </w:r>
      <w:r w:rsidRPr="00A131B8">
        <w:rPr>
          <w:rFonts w:cs="Nazanin"/>
          <w:b/>
          <w:bCs/>
          <w:sz w:val="16"/>
          <w:szCs w:val="16"/>
        </w:rPr>
        <w:t>P.h.d candidate</w:t>
      </w:r>
    </w:p>
    <w:p w:rsidR="00A131B8" w:rsidRDefault="00A131B8" w:rsidP="00A131B8">
      <w:pPr>
        <w:jc w:val="center"/>
        <w:rPr>
          <w:rFonts w:cs="Nazanin"/>
          <w:b/>
          <w:bCs/>
          <w:sz w:val="20"/>
          <w:szCs w:val="20"/>
        </w:rPr>
      </w:pPr>
      <w:r w:rsidRPr="00A131B8">
        <w:rPr>
          <w:rFonts w:cs="Nazanin"/>
          <w:b/>
          <w:bCs/>
          <w:sz w:val="16"/>
          <w:szCs w:val="16"/>
        </w:rPr>
        <w:t xml:space="preserve"> </w:t>
      </w:r>
      <w:r w:rsidRPr="00A131B8">
        <w:rPr>
          <w:rFonts w:cs="Nazanin" w:hint="cs"/>
          <w:b/>
          <w:bCs/>
          <w:sz w:val="16"/>
          <w:szCs w:val="16"/>
          <w:rtl/>
        </w:rPr>
        <w:t xml:space="preserve"> </w:t>
      </w:r>
    </w:p>
    <w:p w:rsidR="00A131B8" w:rsidRPr="00A131B8" w:rsidRDefault="00A131B8" w:rsidP="00A131B8">
      <w:pPr>
        <w:jc w:val="center"/>
        <w:rPr>
          <w:rFonts w:asciiTheme="majorBidi" w:hAnsiTheme="majorBidi" w:cstheme="majorBidi" w:hint="cs"/>
          <w:sz w:val="20"/>
          <w:szCs w:val="20"/>
          <w:rtl/>
        </w:rPr>
      </w:pPr>
      <w:r w:rsidRPr="00A131B8">
        <w:rPr>
          <w:rFonts w:asciiTheme="majorBidi" w:hAnsiTheme="majorBidi" w:cstheme="majorBidi"/>
          <w:b/>
          <w:bCs/>
        </w:rPr>
        <w:t>Second Author</w:t>
      </w:r>
      <w:r w:rsidRPr="00A131B8">
        <w:rPr>
          <w:rFonts w:asciiTheme="majorBidi" w:hAnsiTheme="majorBidi" w:cstheme="majorBidi"/>
          <w:b/>
          <w:bCs/>
          <w:sz w:val="20"/>
          <w:szCs w:val="20"/>
        </w:rPr>
        <w:t>:Masoumeh Parsa</w:t>
      </w:r>
    </w:p>
    <w:p w:rsidR="00A131B8" w:rsidRPr="00A131B8" w:rsidRDefault="00A131B8" w:rsidP="00A131B8">
      <w:pPr>
        <w:jc w:val="center"/>
        <w:rPr>
          <w:rFonts w:asciiTheme="majorBidi" w:hAnsiTheme="majorBidi" w:cstheme="majorBidi"/>
          <w:b/>
          <w:bCs/>
          <w:sz w:val="16"/>
          <w:szCs w:val="16"/>
        </w:rPr>
      </w:pPr>
      <w:r w:rsidRPr="00A131B8">
        <w:rPr>
          <w:rFonts w:asciiTheme="majorBidi" w:hAnsiTheme="majorBidi" w:cstheme="majorBidi"/>
          <w:b/>
          <w:bCs/>
        </w:rPr>
        <w:t xml:space="preserve">Affiliation </w:t>
      </w:r>
      <w:r w:rsidRPr="00A131B8">
        <w:rPr>
          <w:rFonts w:asciiTheme="majorBidi" w:hAnsiTheme="majorBidi" w:cstheme="majorBidi"/>
          <w:b/>
          <w:bCs/>
          <w:sz w:val="16"/>
          <w:szCs w:val="16"/>
        </w:rPr>
        <w:t xml:space="preserve">: </w:t>
      </w:r>
      <w:r w:rsidRPr="00A131B8">
        <w:rPr>
          <w:rFonts w:asciiTheme="majorBidi" w:hAnsiTheme="majorBidi" w:cstheme="majorBidi"/>
          <w:b/>
          <w:bCs/>
          <w:sz w:val="16"/>
          <w:szCs w:val="16"/>
        </w:rPr>
        <w:t>P.h.d candidate of Islamic Azad Universiyu</w:t>
      </w:r>
    </w:p>
    <w:p w:rsidR="00A131B8" w:rsidRPr="00A131B8" w:rsidRDefault="00A131B8" w:rsidP="00A131B8">
      <w:pPr>
        <w:jc w:val="center"/>
        <w:rPr>
          <w:rFonts w:asciiTheme="majorBidi" w:hAnsiTheme="majorBidi" w:cstheme="majorBidi" w:hint="cs"/>
          <w:b/>
          <w:bCs/>
          <w:sz w:val="16"/>
          <w:szCs w:val="16"/>
          <w:rtl/>
        </w:rPr>
      </w:pPr>
    </w:p>
    <w:p w:rsidR="00A131B8" w:rsidRDefault="00A131B8" w:rsidP="00A131B8">
      <w:pPr>
        <w:bidi w:val="0"/>
        <w:jc w:val="center"/>
        <w:rPr>
          <w:rFonts w:cs="Nazanin"/>
          <w:sz w:val="28"/>
          <w:szCs w:val="36"/>
        </w:rPr>
      </w:pPr>
      <w:r>
        <w:rPr>
          <w:rFonts w:cs="Nazanin"/>
          <w:b/>
          <w:bCs/>
        </w:rPr>
        <w:t>Third Author</w:t>
      </w:r>
      <w:r>
        <w:rPr>
          <w:rFonts w:cs="Nazanin"/>
          <w:sz w:val="28"/>
          <w:szCs w:val="36"/>
        </w:rPr>
        <w:t>:</w:t>
      </w:r>
      <w:r w:rsidRPr="00A131B8">
        <w:rPr>
          <w:rFonts w:asciiTheme="majorBidi" w:hAnsiTheme="majorBidi" w:cstheme="majorBidi"/>
          <w:b/>
          <w:bCs/>
          <w:sz w:val="20"/>
          <w:szCs w:val="20"/>
        </w:rPr>
        <w:t>Fereshteh Parsa Ghorabaee</w:t>
      </w:r>
    </w:p>
    <w:p w:rsidR="00A131B8" w:rsidRPr="00A131B8" w:rsidRDefault="00A131B8" w:rsidP="00A131B8">
      <w:pPr>
        <w:jc w:val="center"/>
        <w:rPr>
          <w:rFonts w:cs="Nazanin"/>
          <w:b/>
          <w:bCs/>
          <w:sz w:val="20"/>
          <w:szCs w:val="20"/>
        </w:rPr>
      </w:pPr>
      <w:r>
        <w:rPr>
          <w:rFonts w:cs="Nazanin"/>
          <w:b/>
          <w:bCs/>
        </w:rPr>
        <w:t>Affiliation :</w:t>
      </w:r>
      <w:r w:rsidRPr="00A131B8">
        <w:rPr>
          <w:rFonts w:asciiTheme="majorBidi" w:hAnsiTheme="majorBidi" w:cstheme="majorBidi"/>
          <w:b/>
          <w:bCs/>
          <w:sz w:val="16"/>
          <w:szCs w:val="16"/>
        </w:rPr>
        <w:t xml:space="preserve"> </w:t>
      </w:r>
      <w:r w:rsidRPr="00A131B8">
        <w:rPr>
          <w:rFonts w:asciiTheme="majorBidi" w:hAnsiTheme="majorBidi" w:cstheme="majorBidi"/>
          <w:b/>
          <w:bCs/>
          <w:sz w:val="16"/>
          <w:szCs w:val="16"/>
        </w:rPr>
        <w:t>: P.h.d candidate of Islamic Azad Universiyu</w:t>
      </w:r>
      <w:r>
        <w:rPr>
          <w:rFonts w:cs="Nazanin" w:hint="cs"/>
          <w:b/>
          <w:bCs/>
          <w:rtl/>
        </w:rPr>
        <w:t xml:space="preserve"> </w:t>
      </w:r>
    </w:p>
    <w:p w:rsidR="00A131B8" w:rsidRDefault="00A131B8" w:rsidP="00A131B8">
      <w:pPr>
        <w:bidi w:val="0"/>
        <w:spacing w:after="0" w:line="240" w:lineRule="auto"/>
        <w:rPr>
          <w:b/>
          <w:bCs/>
        </w:rPr>
      </w:pPr>
    </w:p>
    <w:p w:rsidR="00A131B8" w:rsidRDefault="00A131B8" w:rsidP="00A131B8">
      <w:pPr>
        <w:bidi w:val="0"/>
        <w:spacing w:after="0" w:line="240" w:lineRule="auto"/>
        <w:rPr>
          <w:b/>
          <w:bCs/>
        </w:rPr>
      </w:pPr>
    </w:p>
    <w:p w:rsidR="00A131B8" w:rsidRPr="003D1330" w:rsidRDefault="00A131B8" w:rsidP="00A131B8">
      <w:pPr>
        <w:bidi w:val="0"/>
        <w:spacing w:after="0" w:line="240" w:lineRule="auto"/>
        <w:rPr>
          <w:rFonts w:ascii="Times New Roman" w:hAnsi="Times New Roman" w:cs="Times New Roman"/>
          <w:b/>
          <w:bCs/>
        </w:rPr>
      </w:pPr>
    </w:p>
    <w:p w:rsidR="00251FBD" w:rsidRPr="003D1330" w:rsidRDefault="00251FBD" w:rsidP="00D97797">
      <w:pPr>
        <w:bidi w:val="0"/>
        <w:spacing w:after="0" w:line="240" w:lineRule="auto"/>
        <w:rPr>
          <w:rFonts w:ascii="Times New Roman" w:eastAsia="Times New Roman" w:hAnsi="Times New Roman" w:cs="Times New Roman"/>
          <w:b/>
          <w:bCs/>
          <w:sz w:val="28"/>
          <w:szCs w:val="28"/>
          <w14:ligatures w14:val="none"/>
        </w:rPr>
      </w:pPr>
      <w:r w:rsidRPr="003D1330">
        <w:rPr>
          <w:rFonts w:ascii="Times New Roman" w:hAnsi="Times New Roman" w:cs="Times New Roman"/>
          <w:b/>
          <w:bCs/>
          <w:sz w:val="28"/>
          <w:szCs w:val="28"/>
        </w:rPr>
        <w:t>Inclusive Pedagogy for Dyslexic Learners in EFL Classrooms: Challenges and Evidence-Based Solutions</w:t>
      </w:r>
    </w:p>
    <w:p w:rsidR="00251FBD" w:rsidRPr="003D1330" w:rsidRDefault="00251FBD" w:rsidP="00251FBD">
      <w:pPr>
        <w:bidi w:val="0"/>
        <w:spacing w:after="0" w:line="240" w:lineRule="auto"/>
        <w:rPr>
          <w:rFonts w:ascii="Times New Roman" w:eastAsia="Times New Roman" w:hAnsi="Times New Roman" w:cs="Times New Roman"/>
          <w:sz w:val="28"/>
          <w:szCs w:val="28"/>
          <w14:ligatures w14:val="none"/>
        </w:rPr>
      </w:pPr>
    </w:p>
    <w:p w:rsidR="009568BB" w:rsidRPr="003D1330" w:rsidRDefault="009568BB" w:rsidP="00251FBD">
      <w:pPr>
        <w:bidi w:val="0"/>
        <w:spacing w:after="0" w:line="240" w:lineRule="auto"/>
        <w:rPr>
          <w:rFonts w:ascii="Times New Roman" w:eastAsia="Times New Roman" w:hAnsi="Times New Roman" w:cs="Times New Roman"/>
          <w:b/>
          <w:bCs/>
          <w14:ligatures w14:val="none"/>
        </w:rPr>
      </w:pPr>
      <w:r w:rsidRPr="003D1330">
        <w:rPr>
          <w:rFonts w:ascii="Times New Roman" w:eastAsia="Times New Roman" w:hAnsi="Times New Roman" w:cs="Times New Roman"/>
          <w:b/>
          <w:bCs/>
          <w14:ligatures w14:val="none"/>
        </w:rPr>
        <w:t>Abstract</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Dyslexia, a specific learning difficulty that affects reading, writing, and spelling, presents unique challenges for English as a Foreign Language (EFL) learners. In inclusive educational settings, teachers must balance curriculum demands with the individualized needs of students who struggle with decoding and processing linguistic input. This review synthesizes recent empirical and theoretical research on inclusion practices for dyslexic students in EFL classrooms. It explores challenges such as teacher preparedness, linguistic complexity, and assessment fairness, while proposing evidence-based solutions including multisensory instruction, assistive technology, differentiated assessment, and teacher professional development. The paper concludes that inclusive EFL pedagogy requires a shift from traditional accuracy-based instruction to learner-centered and flexible frameworks grounded in the Universal Design for Learning (UDL).</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7E50C4" w:rsidRPr="003D1330" w:rsidRDefault="00251FBD" w:rsidP="007E50C4">
      <w:pPr>
        <w:bidi w:val="0"/>
        <w:spacing w:before="100" w:beforeAutospacing="1" w:after="100" w:afterAutospacing="1"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sz w:val="27"/>
          <w:szCs w:val="27"/>
          <w14:ligatures w14:val="none"/>
        </w:rPr>
        <w:t>Keywords</w:t>
      </w:r>
      <w:r w:rsidRPr="003D1330">
        <w:rPr>
          <w:rFonts w:ascii="Times New Roman" w:eastAsia="Times New Roman" w:hAnsi="Times New Roman" w:cs="Times New Roman"/>
          <w:b/>
          <w:bCs/>
          <w:sz w:val="27"/>
          <w:szCs w:val="27"/>
          <w14:ligatures w14:val="none"/>
        </w:rPr>
        <w:t xml:space="preserve"> :</w:t>
      </w:r>
      <w:r w:rsidRPr="003D1330">
        <w:rPr>
          <w:rFonts w:ascii="Times New Roman" w:eastAsia="Times New Roman" w:hAnsi="Times New Roman" w:cs="Times New Roman"/>
          <w14:ligatures w14:val="none"/>
        </w:rPr>
        <w:t xml:space="preserve"> Dyslexia, Inclusive Education</w:t>
      </w:r>
      <w:r w:rsidR="007E50C4" w:rsidRPr="003D1330">
        <w:rPr>
          <w:rFonts w:ascii="Times New Roman" w:eastAsia="Times New Roman" w:hAnsi="Times New Roman" w:cs="Times New Roman"/>
          <w14:ligatures w14:val="none"/>
        </w:rPr>
        <w:t>, English as a Foreign Language, Universal Design for Learning, Evidence-Based Practices</w:t>
      </w:r>
    </w:p>
    <w:p w:rsidR="003D1330" w:rsidRDefault="003D1330" w:rsidP="009568BB">
      <w:pPr>
        <w:bidi w:val="0"/>
        <w:spacing w:after="0" w:line="240" w:lineRule="auto"/>
        <w:rPr>
          <w:rFonts w:ascii="Times New Roman" w:eastAsia="Times New Roman" w:hAnsi="Times New Roman" w:cs="Times New Roman"/>
          <w14:ligatures w14:val="none"/>
        </w:rPr>
      </w:pPr>
    </w:p>
    <w:p w:rsidR="003D1330" w:rsidRDefault="003D1330" w:rsidP="003D1330">
      <w:pPr>
        <w:bidi w:val="0"/>
        <w:spacing w:after="0" w:line="240" w:lineRule="auto"/>
        <w:rPr>
          <w:rFonts w:ascii="Times New Roman" w:eastAsia="Times New Roman" w:hAnsi="Times New Roman" w:cs="Times New Roman"/>
          <w14:ligatures w14:val="none"/>
        </w:rPr>
      </w:pPr>
    </w:p>
    <w:p w:rsidR="003D1330" w:rsidRDefault="003D1330" w:rsidP="003D1330">
      <w:pPr>
        <w:bidi w:val="0"/>
        <w:spacing w:after="0" w:line="240" w:lineRule="auto"/>
        <w:rPr>
          <w:rFonts w:ascii="Times New Roman" w:eastAsia="Times New Roman" w:hAnsi="Times New Roman" w:cs="Times New Roman"/>
          <w14:ligatures w14:val="none"/>
        </w:rPr>
      </w:pPr>
    </w:p>
    <w:p w:rsidR="003D1330" w:rsidRDefault="003D1330" w:rsidP="003D1330">
      <w:pPr>
        <w:bidi w:val="0"/>
        <w:spacing w:after="0" w:line="240" w:lineRule="auto"/>
        <w:rPr>
          <w:rFonts w:ascii="Times New Roman" w:eastAsia="Times New Roman" w:hAnsi="Times New Roman" w:cs="Times New Roman"/>
          <w14:ligatures w14:val="none"/>
        </w:rPr>
      </w:pPr>
    </w:p>
    <w:p w:rsidR="003D1330" w:rsidRDefault="003D1330" w:rsidP="003D1330">
      <w:pPr>
        <w:bidi w:val="0"/>
        <w:spacing w:after="0" w:line="240" w:lineRule="auto"/>
        <w:rPr>
          <w:rFonts w:ascii="Times New Roman" w:eastAsia="Times New Roman" w:hAnsi="Times New Roman" w:cs="Times New Roman"/>
          <w14:ligatures w14:val="none"/>
        </w:rPr>
      </w:pPr>
    </w:p>
    <w:p w:rsidR="003D1330" w:rsidRDefault="003D1330" w:rsidP="003D1330">
      <w:pPr>
        <w:bidi w:val="0"/>
        <w:spacing w:after="0" w:line="240" w:lineRule="auto"/>
        <w:rPr>
          <w:rFonts w:ascii="Times New Roman" w:eastAsia="Times New Roman" w:hAnsi="Times New Roman" w:cs="Times New Roman"/>
          <w14:ligatures w14:val="none"/>
        </w:rPr>
      </w:pPr>
    </w:p>
    <w:p w:rsidR="003D1330" w:rsidRDefault="003D1330" w:rsidP="003D1330">
      <w:pPr>
        <w:bidi w:val="0"/>
        <w:spacing w:after="0" w:line="240" w:lineRule="auto"/>
        <w:rPr>
          <w:rFonts w:ascii="Times New Roman" w:eastAsia="Times New Roman" w:hAnsi="Times New Roman" w:cs="Times New Roman"/>
          <w14:ligatures w14:val="none"/>
        </w:rPr>
      </w:pPr>
    </w:p>
    <w:p w:rsidR="003D1330" w:rsidRDefault="003D1330" w:rsidP="003D1330">
      <w:pPr>
        <w:bidi w:val="0"/>
        <w:spacing w:after="0" w:line="240" w:lineRule="auto"/>
        <w:rPr>
          <w:rFonts w:ascii="Times New Roman" w:eastAsia="Times New Roman" w:hAnsi="Times New Roman" w:cs="Times New Roman"/>
          <w14:ligatures w14:val="none"/>
        </w:rPr>
      </w:pPr>
    </w:p>
    <w:p w:rsidR="003D1330" w:rsidRDefault="003D1330" w:rsidP="003D1330">
      <w:pPr>
        <w:bidi w:val="0"/>
        <w:spacing w:after="0" w:line="240" w:lineRule="auto"/>
        <w:rPr>
          <w:rFonts w:ascii="Times New Roman" w:eastAsia="Times New Roman" w:hAnsi="Times New Roman" w:cs="Times New Roman"/>
          <w14:ligatures w14:val="none"/>
        </w:rPr>
      </w:pPr>
    </w:p>
    <w:p w:rsidR="003D1330" w:rsidRDefault="003D1330" w:rsidP="003D1330">
      <w:pPr>
        <w:bidi w:val="0"/>
        <w:spacing w:after="0" w:line="240" w:lineRule="auto"/>
        <w:rPr>
          <w:rFonts w:ascii="Times New Roman" w:eastAsia="Times New Roman" w:hAnsi="Times New Roman" w:cs="Times New Roman"/>
          <w14:ligatures w14:val="none"/>
        </w:rPr>
      </w:pPr>
    </w:p>
    <w:p w:rsidR="003D1330" w:rsidRDefault="003D1330" w:rsidP="003D1330">
      <w:pPr>
        <w:bidi w:val="0"/>
        <w:spacing w:after="0" w:line="240" w:lineRule="auto"/>
        <w:rPr>
          <w:rFonts w:ascii="Times New Roman" w:eastAsia="Times New Roman" w:hAnsi="Times New Roman" w:cs="Times New Roman"/>
          <w14:ligatures w14:val="none"/>
        </w:rPr>
      </w:pPr>
    </w:p>
    <w:p w:rsidR="003D1330" w:rsidRDefault="003D1330" w:rsidP="003D1330">
      <w:pPr>
        <w:bidi w:val="0"/>
        <w:spacing w:after="0" w:line="240" w:lineRule="auto"/>
        <w:rPr>
          <w:rFonts w:ascii="Times New Roman" w:eastAsia="Times New Roman" w:hAnsi="Times New Roman" w:cs="Times New Roman"/>
          <w14:ligatures w14:val="none"/>
        </w:rPr>
      </w:pPr>
    </w:p>
    <w:p w:rsidR="003D1330" w:rsidRDefault="003D1330" w:rsidP="003D1330">
      <w:pPr>
        <w:bidi w:val="0"/>
        <w:spacing w:after="0" w:line="240" w:lineRule="auto"/>
        <w:rPr>
          <w:rFonts w:ascii="Times New Roman" w:eastAsia="Times New Roman" w:hAnsi="Times New Roman" w:cs="Times New Roman"/>
          <w14:ligatures w14:val="none"/>
        </w:rPr>
      </w:pPr>
    </w:p>
    <w:p w:rsidR="003D1330" w:rsidRDefault="003D1330" w:rsidP="003D1330">
      <w:pPr>
        <w:bidi w:val="0"/>
        <w:spacing w:after="0" w:line="240" w:lineRule="auto"/>
        <w:rPr>
          <w:rFonts w:ascii="Times New Roman" w:eastAsia="Times New Roman" w:hAnsi="Times New Roman" w:cs="Times New Roman"/>
          <w14:ligatures w14:val="none"/>
        </w:rPr>
      </w:pPr>
    </w:p>
    <w:p w:rsidR="003D1330" w:rsidRDefault="003D1330" w:rsidP="003D1330">
      <w:pPr>
        <w:bidi w:val="0"/>
        <w:spacing w:after="0" w:line="240" w:lineRule="auto"/>
        <w:rPr>
          <w:rFonts w:ascii="Times New Roman" w:eastAsia="Times New Roman" w:hAnsi="Times New Roman" w:cs="Times New Roman"/>
          <w14:ligatures w14:val="none"/>
        </w:rPr>
      </w:pPr>
    </w:p>
    <w:p w:rsidR="009568BB" w:rsidRPr="003D1330" w:rsidRDefault="009568BB" w:rsidP="003D1330">
      <w:pPr>
        <w:bidi w:val="0"/>
        <w:spacing w:after="0" w:line="240" w:lineRule="auto"/>
        <w:rPr>
          <w:rFonts w:ascii="Times New Roman" w:eastAsia="Times New Roman" w:hAnsi="Times New Roman" w:cs="Times New Roman"/>
          <w:b/>
          <w:bCs/>
          <w14:ligatures w14:val="none"/>
        </w:rPr>
      </w:pPr>
      <w:r w:rsidRPr="003D1330">
        <w:rPr>
          <w:rFonts w:ascii="Times New Roman" w:eastAsia="Times New Roman" w:hAnsi="Times New Roman" w:cs="Times New Roman"/>
          <w:b/>
          <w:bCs/>
          <w14:ligatures w14:val="none"/>
        </w:rPr>
        <w:t>1. Introduction</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Inclusive education ensures equitable opportunities for all learners, regardless of differences in cognitive, linguistic, or physical abilities. Among diverse learners, those with dyslexia face some of the most persistent barriers to success in EFL classrooms (Kormos &amp; Smith, 2012). Dyslexia involves difficulties in phonological processing, spelling, and word recognition that are not linked to intelligence but rather to differences in brain processing (Snowling, 2019).</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For EFL learners, dyslexia introduces an additional layer of complexity because they must decode and internalize linguistic structures that differ from their native language. Despite this, most EFL classrooms emphasize accuracy, speed, and memorization—criteria that inadvertently marginalize dyslexic learners (Schneider &amp; Crombie, 2003). Therefore, inclusion is not merely about physical placement in a general classroom; it requires pedagogical and emotional adaptations to ensure full participation and success.</w:t>
      </w:r>
    </w:p>
    <w:p w:rsidR="007E50C4" w:rsidRPr="003D1330" w:rsidRDefault="007E50C4" w:rsidP="007E50C4">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b/>
          <w:bCs/>
          <w14:ligatures w14:val="none"/>
        </w:rPr>
      </w:pPr>
      <w:r w:rsidRPr="003D1330">
        <w:rPr>
          <w:rFonts w:ascii="Times New Roman" w:eastAsia="Times New Roman" w:hAnsi="Times New Roman" w:cs="Times New Roman"/>
          <w:b/>
          <w:bCs/>
          <w14:ligatures w14:val="none"/>
        </w:rPr>
        <w:t>2. Theoretical Background</w:t>
      </w:r>
    </w:p>
    <w:p w:rsidR="009568BB" w:rsidRPr="003D1330" w:rsidRDefault="009568BB" w:rsidP="009568BB">
      <w:pPr>
        <w:bidi w:val="0"/>
        <w:spacing w:after="0" w:line="240" w:lineRule="auto"/>
        <w:rPr>
          <w:rFonts w:ascii="Times New Roman" w:eastAsia="Times New Roman" w:hAnsi="Times New Roman" w:cs="Times New Roman"/>
          <w:b/>
          <w:bCs/>
          <w14:ligatures w14:val="none"/>
        </w:rPr>
      </w:pPr>
    </w:p>
    <w:p w:rsidR="009568BB" w:rsidRPr="003D1330" w:rsidRDefault="009568BB" w:rsidP="009568BB">
      <w:pPr>
        <w:bidi w:val="0"/>
        <w:spacing w:after="0" w:line="240" w:lineRule="auto"/>
        <w:rPr>
          <w:rFonts w:ascii="Times New Roman" w:eastAsia="Times New Roman" w:hAnsi="Times New Roman" w:cs="Times New Roman"/>
          <w:b/>
          <w:bCs/>
          <w14:ligatures w14:val="none"/>
        </w:rPr>
      </w:pPr>
      <w:r w:rsidRPr="003D1330">
        <w:rPr>
          <w:rFonts w:ascii="Times New Roman" w:eastAsia="Times New Roman" w:hAnsi="Times New Roman" w:cs="Times New Roman"/>
          <w:b/>
          <w:bCs/>
          <w14:ligatures w14:val="none"/>
        </w:rPr>
        <w:t>2.1. Understanding Dyslexia in Language Learning</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Dyslexia is a neurological difference that primarily affects the brain’s ability to process phonological information, making it difficult to map sounds to letters (Snowling, 2019). These difficulties often extend to working memory, sequencing, and automatization of literacy skills. In EFL learning, this means challenges in decoding unfamiliar words, retaining vocabulary, and recognizing sound-spelling correspondences (Kormos, 2020).</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Cross-linguistic research shows that learners whose first language has a transparent orthography (like Spanish or Turkish) may find English—known for its deep and inconsistent orthography—particularly challenging (Cook &amp; Bassetti, 2005). Thus, dyslexia interacts dynamically with linguistic and instructional contexts.</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b/>
          <w:bCs/>
          <w14:ligatures w14:val="none"/>
        </w:rPr>
      </w:pPr>
      <w:r w:rsidRPr="003D1330">
        <w:rPr>
          <w:rFonts w:ascii="Times New Roman" w:eastAsia="Times New Roman" w:hAnsi="Times New Roman" w:cs="Times New Roman"/>
          <w:b/>
          <w:bCs/>
          <w14:ligatures w14:val="none"/>
        </w:rPr>
        <w:t>2.2. Universal Design for Learning (UDL) and Inclusion</w:t>
      </w:r>
    </w:p>
    <w:p w:rsidR="009568BB" w:rsidRPr="003D1330" w:rsidRDefault="009568BB" w:rsidP="009568BB">
      <w:pPr>
        <w:bidi w:val="0"/>
        <w:spacing w:after="0" w:line="240" w:lineRule="auto"/>
        <w:rPr>
          <w:rFonts w:ascii="Times New Roman" w:eastAsia="Times New Roman" w:hAnsi="Times New Roman" w:cs="Times New Roman"/>
          <w:b/>
          <w:bCs/>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The UDL framework promotes accessibility for all learners through three principles: multiple means of engagement, representation, and expression (Meyer, Rose, &amp; Gordon, 2014). In EFL instruction, this translates to using multimodal input—visual, auditory, and kinesthetic—to support varied learning preferences. UDL also encourages flexible assessment and curriculum design so that dyslexic learners can demonstrate understanding in ways that play to their strengths.</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By integrating UDL with inclusive pedagogies, teachers can move beyond a “one-size-fits-all” model toward a more responsive and empathetic approach.</w:t>
      </w:r>
    </w:p>
    <w:p w:rsidR="003D1330" w:rsidRDefault="003D1330" w:rsidP="003D1330">
      <w:pPr>
        <w:bidi w:val="0"/>
        <w:spacing w:after="0" w:line="240" w:lineRule="auto"/>
        <w:rPr>
          <w:rFonts w:ascii="Times New Roman" w:eastAsia="Times New Roman" w:hAnsi="Times New Roman" w:cs="Times New Roman"/>
          <w14:ligatures w14:val="none"/>
        </w:rPr>
      </w:pPr>
    </w:p>
    <w:p w:rsidR="003D1330" w:rsidRPr="003D1330" w:rsidRDefault="003D1330" w:rsidP="003D1330">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b/>
          <w:bCs/>
          <w14:ligatures w14:val="none"/>
        </w:rPr>
      </w:pPr>
      <w:r w:rsidRPr="003D1330">
        <w:rPr>
          <w:rFonts w:ascii="Times New Roman" w:eastAsia="Times New Roman" w:hAnsi="Times New Roman" w:cs="Times New Roman"/>
          <w:b/>
          <w:bCs/>
          <w14:ligatures w14:val="none"/>
        </w:rPr>
        <w:t>3. Challenges in Including Dyslexic Learners in EFL Classrooms</w:t>
      </w:r>
    </w:p>
    <w:p w:rsidR="009568BB" w:rsidRPr="003D1330" w:rsidRDefault="009568BB" w:rsidP="009568BB">
      <w:pPr>
        <w:bidi w:val="0"/>
        <w:spacing w:after="0" w:line="240" w:lineRule="auto"/>
        <w:rPr>
          <w:rFonts w:ascii="Times New Roman" w:eastAsia="Times New Roman" w:hAnsi="Times New Roman" w:cs="Times New Roman"/>
          <w:b/>
          <w:bCs/>
          <w14:ligatures w14:val="none"/>
        </w:rPr>
      </w:pPr>
    </w:p>
    <w:p w:rsidR="009568BB" w:rsidRPr="003D1330" w:rsidRDefault="009568BB" w:rsidP="009568BB">
      <w:pPr>
        <w:bidi w:val="0"/>
        <w:spacing w:after="0" w:line="240" w:lineRule="auto"/>
        <w:rPr>
          <w:rFonts w:ascii="Times New Roman" w:eastAsia="Times New Roman" w:hAnsi="Times New Roman" w:cs="Times New Roman"/>
          <w:b/>
          <w:bCs/>
          <w14:ligatures w14:val="none"/>
        </w:rPr>
      </w:pPr>
      <w:r w:rsidRPr="003D1330">
        <w:rPr>
          <w:rFonts w:ascii="Times New Roman" w:eastAsia="Times New Roman" w:hAnsi="Times New Roman" w:cs="Times New Roman"/>
          <w:b/>
          <w:bCs/>
          <w14:ligatures w14:val="none"/>
        </w:rPr>
        <w:t>3.1. Limited Teacher Awareness and Training</w:t>
      </w:r>
    </w:p>
    <w:p w:rsidR="009568BB" w:rsidRPr="003D1330" w:rsidRDefault="009568BB" w:rsidP="009568BB">
      <w:pPr>
        <w:bidi w:val="0"/>
        <w:spacing w:after="0" w:line="240" w:lineRule="auto"/>
        <w:rPr>
          <w:rFonts w:ascii="Times New Roman" w:eastAsia="Times New Roman" w:hAnsi="Times New Roman" w:cs="Times New Roman"/>
          <w:b/>
          <w:bCs/>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One of the most reported obstacles to inclusion is teachers’ limited knowledge of dyslexia (Nijakowska, 2010). In many EFL teacher education programs, special educational needs (SEN) are rarely addressed systematically. Consequently, teachers may misinterpret reading difficulties as laziness or low aptitude. This misperception not only frustrates teachers but also negatively affects learners’ motivation and self-esteem (Reid, 2016).</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Professional development opportunities focused on dyslexia and inclusive strategies remain scarce, especially in non-Western educational contexts.</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b/>
          <w:bCs/>
          <w14:ligatures w14:val="none"/>
        </w:rPr>
      </w:pPr>
      <w:r w:rsidRPr="003D1330">
        <w:rPr>
          <w:rFonts w:ascii="Times New Roman" w:eastAsia="Times New Roman" w:hAnsi="Times New Roman" w:cs="Times New Roman"/>
          <w:b/>
          <w:bCs/>
          <w14:ligatures w14:val="none"/>
        </w:rPr>
        <w:t>3.2. Linguistic and Orthographic Barriers</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The English writing system’s deep orthography presents major decoding challenges. Inconsistent grapheme–phoneme relationships make it difficult for dyslexic learners to predict spelling or pronunciation patterns (Cook &amp; Bassetti, 2005). Moreover, EFL learners must manage interference from their first language, which may use different phonological and morphological systems (Kormos &amp; Kontra, 2008).</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These barriers often result in slower reading rates, frequent spelling errors, and reduced written fluency. Without appropriate support, learners may disengage or develop anxiety around literacy tasks.</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b/>
          <w:bCs/>
          <w14:ligatures w14:val="none"/>
        </w:rPr>
      </w:pPr>
      <w:r w:rsidRPr="003D1330">
        <w:rPr>
          <w:rFonts w:ascii="Times New Roman" w:eastAsia="Times New Roman" w:hAnsi="Times New Roman" w:cs="Times New Roman"/>
          <w:b/>
          <w:bCs/>
          <w14:ligatures w14:val="none"/>
        </w:rPr>
        <w:t>3.3. Assessment and Curriculum Constraints</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Traditional EFL assessments emphasize speed, accuracy, and grammar—areas where dyslexic learners naturally struggle. Standardized tests rarely accommodate slower reading or alternative response formats (Schneider &amp; Crombie, 2003). As a result, dyslexic students may demonstrate lower achievement levels despite having comparable language understanding.</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Few institutions implement differentiated assessment practices, such as oral testing, extended time, or technology-assisted tasks (Kormos &amp; Kontra, 2008). The absence of such accommodations reinforces systemic inequities and limits authentic evaluation of learning progress.</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b/>
          <w:bCs/>
          <w14:ligatures w14:val="none"/>
        </w:rPr>
      </w:pPr>
      <w:r w:rsidRPr="003D1330">
        <w:rPr>
          <w:rFonts w:ascii="Times New Roman" w:eastAsia="Times New Roman" w:hAnsi="Times New Roman" w:cs="Times New Roman"/>
          <w:b/>
          <w:bCs/>
          <w14:ligatures w14:val="none"/>
        </w:rPr>
        <w:t>4. Evidence-Based Solutions for Inclusion</w:t>
      </w:r>
    </w:p>
    <w:p w:rsidR="009568BB" w:rsidRPr="003D1330" w:rsidRDefault="009568BB" w:rsidP="009568BB">
      <w:pPr>
        <w:bidi w:val="0"/>
        <w:spacing w:after="0" w:line="240" w:lineRule="auto"/>
        <w:rPr>
          <w:rFonts w:ascii="Times New Roman" w:eastAsia="Times New Roman" w:hAnsi="Times New Roman" w:cs="Times New Roman"/>
          <w:b/>
          <w:bCs/>
          <w14:ligatures w14:val="none"/>
        </w:rPr>
      </w:pPr>
    </w:p>
    <w:p w:rsidR="009568BB" w:rsidRPr="003D1330" w:rsidRDefault="009568BB" w:rsidP="009568BB">
      <w:pPr>
        <w:bidi w:val="0"/>
        <w:spacing w:after="0" w:line="240" w:lineRule="auto"/>
        <w:rPr>
          <w:rFonts w:ascii="Times New Roman" w:eastAsia="Times New Roman" w:hAnsi="Times New Roman" w:cs="Times New Roman"/>
          <w:b/>
          <w:bCs/>
          <w14:ligatures w14:val="none"/>
        </w:rPr>
      </w:pPr>
      <w:r w:rsidRPr="003D1330">
        <w:rPr>
          <w:rFonts w:ascii="Times New Roman" w:eastAsia="Times New Roman" w:hAnsi="Times New Roman" w:cs="Times New Roman"/>
          <w:b/>
          <w:bCs/>
          <w14:ligatures w14:val="none"/>
        </w:rPr>
        <w:t>4.1. Multisensory and Structured Teaching Approaches</w:t>
      </w:r>
    </w:p>
    <w:p w:rsidR="009568BB" w:rsidRPr="003D1330" w:rsidRDefault="009568BB" w:rsidP="009568BB">
      <w:pPr>
        <w:bidi w:val="0"/>
        <w:spacing w:after="0" w:line="240" w:lineRule="auto"/>
        <w:rPr>
          <w:rFonts w:ascii="Times New Roman" w:eastAsia="Times New Roman" w:hAnsi="Times New Roman" w:cs="Times New Roman"/>
          <w:b/>
          <w:bCs/>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Multisensory learning, which integrates visual, auditory, and kinesthetic channels, has proven highly effective for dyslexic students (Shaywitz, 2008). The Orton–Gillingham approach and its EFL adaptations encourage structured, cumulative teaching that connects sounds, symbols, and meanings in systematic ways.</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In practice, EFL teachers can apply multisensory strategies such as using color-coded grammar charts, tactile spelling exercises, rhythmic pronunciation drills, and digital flashcards with audio support. These methods enhance memory retention and create redundancy across sensory modalities.</w:t>
      </w:r>
    </w:p>
    <w:p w:rsidR="00D97797" w:rsidRPr="003D1330" w:rsidRDefault="00D97797" w:rsidP="00D97797">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b/>
          <w:bCs/>
          <w14:ligatures w14:val="none"/>
        </w:rPr>
      </w:pPr>
      <w:r w:rsidRPr="003D1330">
        <w:rPr>
          <w:rFonts w:ascii="Times New Roman" w:eastAsia="Times New Roman" w:hAnsi="Times New Roman" w:cs="Times New Roman"/>
          <w:b/>
          <w:bCs/>
          <w14:ligatures w14:val="none"/>
        </w:rPr>
        <w:t>4.2. Use of Assistive Technology</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Assistive technology (AT) provides valuable compensatory tools that level the playing field for dyslexic learners. Speech-to-text and text-to-speech software (e.g., Read&amp;Write, Grammarly, NaturalReader) support writing and reading fluency. Tools like immersive readers and captioned videos enhance comprehension by linking visual and auditory input (Lyon et al., 2003).</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Digital learning platforms also enable personalized pacing and multimodal feedback. However, teacher guidance remains critical to ensure that AT is used strategically rather than as a crutch.</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7E50C4" w:rsidRPr="003D1330" w:rsidRDefault="007E50C4" w:rsidP="007E50C4">
      <w:pPr>
        <w:bidi w:val="0"/>
        <w:spacing w:after="0" w:line="240" w:lineRule="auto"/>
        <w:rPr>
          <w:rFonts w:ascii="Times New Roman" w:eastAsia="Times New Roman" w:hAnsi="Times New Roman" w:cs="Times New Roman"/>
          <w:b/>
          <w:bCs/>
          <w14:ligatures w14:val="none"/>
        </w:rPr>
      </w:pPr>
    </w:p>
    <w:p w:rsidR="009568BB" w:rsidRPr="003D1330" w:rsidRDefault="009568BB" w:rsidP="007E50C4">
      <w:pPr>
        <w:bidi w:val="0"/>
        <w:spacing w:after="0" w:line="240" w:lineRule="auto"/>
        <w:rPr>
          <w:rFonts w:ascii="Times New Roman" w:eastAsia="Times New Roman" w:hAnsi="Times New Roman" w:cs="Times New Roman"/>
          <w:b/>
          <w:bCs/>
          <w14:ligatures w14:val="none"/>
        </w:rPr>
      </w:pPr>
      <w:r w:rsidRPr="003D1330">
        <w:rPr>
          <w:rFonts w:ascii="Times New Roman" w:eastAsia="Times New Roman" w:hAnsi="Times New Roman" w:cs="Times New Roman"/>
          <w:b/>
          <w:bCs/>
          <w14:ligatures w14:val="none"/>
        </w:rPr>
        <w:t>4.3. Differentiated Assessment Practices</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Inclusive assessment should recognize diverse ways of demonstrating knowledge. Options such as oral exams, portfolios, project-based evaluation, and extended time allow dyslexic learners to showcase language competence without undue penalization for slow decoding or spelling errors (Kormos, 2020).</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Moreover, formative assessment practices—like peer feedback and reflective journals—encourage self-awareness and autonomy. When learners understand their strengths and limitations, they can adopt strategies that foster long-term improvement.</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b/>
          <w:bCs/>
          <w14:ligatures w14:val="none"/>
        </w:rPr>
      </w:pPr>
      <w:r w:rsidRPr="003D1330">
        <w:rPr>
          <w:rFonts w:ascii="Times New Roman" w:eastAsia="Times New Roman" w:hAnsi="Times New Roman" w:cs="Times New Roman"/>
          <w:b/>
          <w:bCs/>
          <w14:ligatures w14:val="none"/>
        </w:rPr>
        <w:t>4.4. Teacher Training and Professional Development</w:t>
      </w:r>
    </w:p>
    <w:p w:rsidR="009568BB" w:rsidRPr="003D1330" w:rsidRDefault="009568BB" w:rsidP="009568BB">
      <w:pPr>
        <w:bidi w:val="0"/>
        <w:spacing w:after="0" w:line="240" w:lineRule="auto"/>
        <w:rPr>
          <w:rFonts w:ascii="Times New Roman" w:eastAsia="Times New Roman" w:hAnsi="Times New Roman" w:cs="Times New Roman"/>
          <w:b/>
          <w:bCs/>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lastRenderedPageBreak/>
        <w:t>Inclusion depends heavily on teacher readiness. Research highlights the importance of ongoing professional development in recognizing and addressing dyslexia (Nijakowska, 2010; Reid, 2016). Training programs should include case studies, simulation exercises, and exposure to assistive tools.</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Collaborative learning communities—where EFL teachers share inclusive strategies—can also enhance institutional capacity for inclusion. A culture of empathy and shared responsibility promotes sustainable change.</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b/>
          <w:bCs/>
          <w14:ligatures w14:val="none"/>
        </w:rPr>
      </w:pPr>
      <w:r w:rsidRPr="003D1330">
        <w:rPr>
          <w:rFonts w:ascii="Times New Roman" w:eastAsia="Times New Roman" w:hAnsi="Times New Roman" w:cs="Times New Roman"/>
          <w:b/>
          <w:bCs/>
          <w14:ligatures w14:val="none"/>
        </w:rPr>
        <w:t>4.5. Emotional and Social Support</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Dyslexia often leads to frustration, anxiety, and reduced confidence, especially in competitive academic environments. Teachers can mitigate these effects by fostering supportive classroom atmospheres that celebrate progress rather than perfection (Reid, 2016). Pair and group work, positive reinforcement, and explicit recognition of effort can significantly enhance learners’ motivation.</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Peer mentoring and cooperative learning not only promote inclusion but also improve social cohesion, helping dyslexic students feel valued and accepted.</w:t>
      </w:r>
    </w:p>
    <w:p w:rsidR="00D97797" w:rsidRPr="003D1330" w:rsidRDefault="00D97797" w:rsidP="00D97797">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b/>
          <w:bCs/>
          <w14:ligatures w14:val="none"/>
        </w:rPr>
      </w:pPr>
    </w:p>
    <w:p w:rsidR="009568BB" w:rsidRPr="003D1330" w:rsidRDefault="009568BB" w:rsidP="009568BB">
      <w:pPr>
        <w:bidi w:val="0"/>
        <w:spacing w:after="0" w:line="240" w:lineRule="auto"/>
        <w:rPr>
          <w:rFonts w:ascii="Times New Roman" w:eastAsia="Times New Roman" w:hAnsi="Times New Roman" w:cs="Times New Roman"/>
          <w:b/>
          <w:bCs/>
          <w14:ligatures w14:val="none"/>
        </w:rPr>
      </w:pPr>
      <w:r w:rsidRPr="003D1330">
        <w:rPr>
          <w:rFonts w:ascii="Times New Roman" w:eastAsia="Times New Roman" w:hAnsi="Times New Roman" w:cs="Times New Roman"/>
          <w:b/>
          <w:bCs/>
          <w14:ligatures w14:val="none"/>
        </w:rPr>
        <w:t>5. Pedagogical Framework for Inclusive EFL Classrooms</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Integrating UDL principles, multisensory teaching, and technology leads to a holistic inclusion model. This model emphasizes flexibility, accessibility, and empowerment rather than remediation. Teachers should:</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1. Present content through multiple modalities (visual, auditory, tactile).</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2. Allow diverse response formats—spoken, written, digital, or creative.</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3. Provide scaffolding and clear routines to reduce cognitive load.</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4. Offer feedback that focuses on content and meaning before form.</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5. Incorporate self-regulated learning strategies and reflection activities.</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Such approaches ensure that dyslexic learners are not disadvantaged by their difficulties but empowered by their strengths.</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b/>
          <w:bCs/>
          <w14:ligatures w14:val="none"/>
        </w:rPr>
      </w:pPr>
      <w:r w:rsidRPr="003D1330">
        <w:rPr>
          <w:rFonts w:ascii="Times New Roman" w:eastAsia="Times New Roman" w:hAnsi="Times New Roman" w:cs="Times New Roman"/>
          <w:b/>
          <w:bCs/>
          <w14:ligatures w14:val="none"/>
        </w:rPr>
        <w:t>6. Discussion</w:t>
      </w:r>
    </w:p>
    <w:p w:rsidR="009568BB" w:rsidRPr="003D1330" w:rsidRDefault="009568BB" w:rsidP="009568BB">
      <w:pPr>
        <w:bidi w:val="0"/>
        <w:spacing w:after="0" w:line="240" w:lineRule="auto"/>
        <w:rPr>
          <w:rFonts w:ascii="Times New Roman" w:eastAsia="Times New Roman" w:hAnsi="Times New Roman" w:cs="Times New Roman"/>
          <w:b/>
          <w:bCs/>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 xml:space="preserve">The shift toward inclusive EFL education challenges traditional conceptions of teaching and learning. While curriculum goals often emphasize standardization, inclusion demands </w:t>
      </w:r>
      <w:r w:rsidRPr="003D1330">
        <w:rPr>
          <w:rFonts w:ascii="Times New Roman" w:eastAsia="Times New Roman" w:hAnsi="Times New Roman" w:cs="Times New Roman"/>
          <w14:ligatures w14:val="none"/>
        </w:rPr>
        <w:lastRenderedPageBreak/>
        <w:t>personalization. The tension between these goals is particularly evident in contexts where exam-oriented education dominates (Kormos, 2020).</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Nevertheless, evidence shows that inclusive strategies benefit all learners—not only those with dyslexia. Multisensory, flexible, and technology-supported instruction enhances engagement, retention, and creativity across the classroom. Therefore, inclusion should not be viewed as an additional responsibility but as a pedagogical evolution toward more effective teaching.</w:t>
      </w:r>
    </w:p>
    <w:p w:rsidR="003D1330" w:rsidRDefault="003D1330" w:rsidP="003D1330">
      <w:pPr>
        <w:bidi w:val="0"/>
        <w:spacing w:after="0" w:line="240" w:lineRule="auto"/>
        <w:rPr>
          <w:rFonts w:ascii="Times New Roman" w:eastAsia="Times New Roman" w:hAnsi="Times New Roman" w:cs="Times New Roman"/>
          <w14:ligatures w14:val="none"/>
        </w:rPr>
      </w:pPr>
    </w:p>
    <w:p w:rsidR="003D1330" w:rsidRDefault="003D1330" w:rsidP="003D1330">
      <w:pPr>
        <w:bidi w:val="0"/>
        <w:spacing w:after="0" w:line="240" w:lineRule="auto"/>
        <w:rPr>
          <w:rFonts w:ascii="Times New Roman" w:eastAsia="Times New Roman" w:hAnsi="Times New Roman" w:cs="Times New Roman"/>
          <w14:ligatures w14:val="none"/>
        </w:rPr>
      </w:pPr>
    </w:p>
    <w:p w:rsidR="003D1330" w:rsidRDefault="003D1330" w:rsidP="003D1330">
      <w:pPr>
        <w:bidi w:val="0"/>
        <w:spacing w:after="0" w:line="240" w:lineRule="auto"/>
        <w:rPr>
          <w:rFonts w:ascii="Times New Roman" w:eastAsia="Times New Roman" w:hAnsi="Times New Roman" w:cs="Times New Roman"/>
          <w14:ligatures w14:val="none"/>
        </w:rPr>
      </w:pPr>
    </w:p>
    <w:p w:rsidR="003D1330" w:rsidRDefault="003D1330" w:rsidP="003D1330">
      <w:pPr>
        <w:bidi w:val="0"/>
        <w:spacing w:after="0" w:line="240" w:lineRule="auto"/>
        <w:rPr>
          <w:rFonts w:ascii="Times New Roman" w:eastAsia="Times New Roman" w:hAnsi="Times New Roman" w:cs="Times New Roman"/>
          <w14:ligatures w14:val="none"/>
        </w:rPr>
      </w:pPr>
    </w:p>
    <w:p w:rsidR="003D1330" w:rsidRDefault="003D1330" w:rsidP="003D1330">
      <w:pPr>
        <w:bidi w:val="0"/>
        <w:spacing w:after="0" w:line="240" w:lineRule="auto"/>
        <w:rPr>
          <w:rFonts w:ascii="Times New Roman" w:eastAsia="Times New Roman" w:hAnsi="Times New Roman" w:cs="Times New Roman"/>
          <w14:ligatures w14:val="none"/>
        </w:rPr>
      </w:pPr>
    </w:p>
    <w:p w:rsidR="003D1330" w:rsidRPr="003D1330" w:rsidRDefault="003D1330" w:rsidP="003D1330">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b/>
          <w:bCs/>
          <w14:ligatures w14:val="none"/>
        </w:rPr>
      </w:pPr>
      <w:r w:rsidRPr="003D1330">
        <w:rPr>
          <w:rFonts w:ascii="Times New Roman" w:eastAsia="Times New Roman" w:hAnsi="Times New Roman" w:cs="Times New Roman"/>
          <w:b/>
          <w:bCs/>
          <w14:ligatures w14:val="none"/>
        </w:rPr>
        <w:t>7. Conclusion</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Inclusion of dyslexic students in EFL classrooms is both a moral and pedagogical imperative. While challenges persist—such as inadequate teacher training, rigid curricula, and inequitable assessments—research-backed solutions exist. By adopting multisensory instruction, leveraging assistive technology, differentiating assessment, and prioritizing emotional support, teachers can create equitable learning environments that nurture all learners’ potential.</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True inclusion goes beyond accommodation; it transforms the very nature of teaching into a practice rooted in empathy, flexibility, and understanding.</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7E50C4" w:rsidRPr="003D1330" w:rsidRDefault="007E50C4" w:rsidP="009568BB">
      <w:pPr>
        <w:bidi w:val="0"/>
        <w:spacing w:after="0" w:line="240" w:lineRule="auto"/>
        <w:rPr>
          <w:rFonts w:ascii="Times New Roman" w:eastAsia="Times New Roman" w:hAnsi="Times New Roman" w:cs="Times New Roman"/>
          <w:b/>
          <w:bCs/>
          <w14:ligatures w14:val="none"/>
        </w:rPr>
      </w:pPr>
    </w:p>
    <w:p w:rsidR="007E50C4" w:rsidRPr="003D1330" w:rsidRDefault="007E50C4" w:rsidP="007E50C4">
      <w:pPr>
        <w:bidi w:val="0"/>
        <w:spacing w:after="0" w:line="240" w:lineRule="auto"/>
        <w:rPr>
          <w:rFonts w:ascii="Times New Roman" w:eastAsia="Times New Roman" w:hAnsi="Times New Roman" w:cs="Times New Roman"/>
          <w:b/>
          <w:bCs/>
          <w14:ligatures w14:val="none"/>
        </w:rPr>
      </w:pPr>
    </w:p>
    <w:p w:rsidR="007E50C4" w:rsidRPr="003D1330" w:rsidRDefault="007E50C4" w:rsidP="007E50C4">
      <w:pPr>
        <w:bidi w:val="0"/>
        <w:spacing w:after="0" w:line="240" w:lineRule="auto"/>
        <w:rPr>
          <w:rFonts w:ascii="Times New Roman" w:eastAsia="Times New Roman" w:hAnsi="Times New Roman" w:cs="Times New Roman"/>
          <w:b/>
          <w:bCs/>
          <w14:ligatures w14:val="none"/>
        </w:rPr>
      </w:pPr>
    </w:p>
    <w:p w:rsidR="007E50C4" w:rsidRPr="003D1330" w:rsidRDefault="007E50C4" w:rsidP="007E50C4">
      <w:pPr>
        <w:bidi w:val="0"/>
        <w:spacing w:after="0" w:line="240" w:lineRule="auto"/>
        <w:rPr>
          <w:rFonts w:ascii="Times New Roman" w:eastAsia="Times New Roman" w:hAnsi="Times New Roman" w:cs="Times New Roman"/>
          <w:b/>
          <w:bCs/>
          <w14:ligatures w14:val="none"/>
        </w:rPr>
      </w:pPr>
    </w:p>
    <w:p w:rsidR="007E50C4" w:rsidRPr="003D1330" w:rsidRDefault="007E50C4" w:rsidP="007E50C4">
      <w:pPr>
        <w:bidi w:val="0"/>
        <w:spacing w:after="0" w:line="240" w:lineRule="auto"/>
        <w:rPr>
          <w:rFonts w:ascii="Times New Roman" w:eastAsia="Times New Roman" w:hAnsi="Times New Roman" w:cs="Times New Roman"/>
          <w:b/>
          <w:bCs/>
          <w14:ligatures w14:val="none"/>
        </w:rPr>
      </w:pPr>
    </w:p>
    <w:p w:rsidR="007E50C4" w:rsidRDefault="007E50C4" w:rsidP="007E50C4">
      <w:pPr>
        <w:bidi w:val="0"/>
        <w:spacing w:after="0" w:line="240" w:lineRule="auto"/>
        <w:rPr>
          <w:rFonts w:ascii="Times New Roman" w:eastAsia="Times New Roman" w:hAnsi="Times New Roman" w:cs="Times New Roman"/>
          <w:b/>
          <w:bCs/>
          <w14:ligatures w14:val="none"/>
        </w:rPr>
      </w:pPr>
    </w:p>
    <w:p w:rsidR="003D1330" w:rsidRDefault="003D1330" w:rsidP="003D1330">
      <w:pPr>
        <w:bidi w:val="0"/>
        <w:spacing w:after="0" w:line="240" w:lineRule="auto"/>
        <w:rPr>
          <w:rFonts w:ascii="Times New Roman" w:eastAsia="Times New Roman" w:hAnsi="Times New Roman" w:cs="Times New Roman"/>
          <w:b/>
          <w:bCs/>
          <w14:ligatures w14:val="none"/>
        </w:rPr>
      </w:pPr>
    </w:p>
    <w:p w:rsidR="003D1330" w:rsidRDefault="003D1330" w:rsidP="003D1330">
      <w:pPr>
        <w:bidi w:val="0"/>
        <w:spacing w:after="0" w:line="240" w:lineRule="auto"/>
        <w:rPr>
          <w:rFonts w:ascii="Times New Roman" w:eastAsia="Times New Roman" w:hAnsi="Times New Roman" w:cs="Times New Roman"/>
          <w:b/>
          <w:bCs/>
          <w14:ligatures w14:val="none"/>
        </w:rPr>
      </w:pPr>
    </w:p>
    <w:p w:rsidR="003D1330" w:rsidRDefault="003D1330" w:rsidP="003D1330">
      <w:pPr>
        <w:bidi w:val="0"/>
        <w:spacing w:after="0" w:line="240" w:lineRule="auto"/>
        <w:rPr>
          <w:rFonts w:ascii="Times New Roman" w:eastAsia="Times New Roman" w:hAnsi="Times New Roman" w:cs="Times New Roman"/>
          <w:b/>
          <w:bCs/>
          <w14:ligatures w14:val="none"/>
        </w:rPr>
      </w:pPr>
    </w:p>
    <w:p w:rsidR="003D1330" w:rsidRDefault="003D1330" w:rsidP="003D1330">
      <w:pPr>
        <w:bidi w:val="0"/>
        <w:spacing w:after="0" w:line="240" w:lineRule="auto"/>
        <w:rPr>
          <w:rFonts w:ascii="Times New Roman" w:eastAsia="Times New Roman" w:hAnsi="Times New Roman" w:cs="Times New Roman"/>
          <w:b/>
          <w:bCs/>
          <w14:ligatures w14:val="none"/>
        </w:rPr>
      </w:pPr>
    </w:p>
    <w:p w:rsidR="003D1330" w:rsidRDefault="003D1330" w:rsidP="003D1330">
      <w:pPr>
        <w:bidi w:val="0"/>
        <w:spacing w:after="0" w:line="240" w:lineRule="auto"/>
        <w:rPr>
          <w:rFonts w:ascii="Times New Roman" w:eastAsia="Times New Roman" w:hAnsi="Times New Roman" w:cs="Times New Roman"/>
          <w:b/>
          <w:bCs/>
          <w14:ligatures w14:val="none"/>
        </w:rPr>
      </w:pPr>
    </w:p>
    <w:p w:rsidR="003D1330" w:rsidRDefault="003D1330" w:rsidP="003D1330">
      <w:pPr>
        <w:bidi w:val="0"/>
        <w:spacing w:after="0" w:line="240" w:lineRule="auto"/>
        <w:rPr>
          <w:rFonts w:ascii="Times New Roman" w:eastAsia="Times New Roman" w:hAnsi="Times New Roman" w:cs="Times New Roman"/>
          <w:b/>
          <w:bCs/>
          <w14:ligatures w14:val="none"/>
        </w:rPr>
      </w:pPr>
    </w:p>
    <w:p w:rsidR="003D1330" w:rsidRDefault="003D1330" w:rsidP="003D1330">
      <w:pPr>
        <w:bidi w:val="0"/>
        <w:spacing w:after="0" w:line="240" w:lineRule="auto"/>
        <w:rPr>
          <w:rFonts w:ascii="Times New Roman" w:eastAsia="Times New Roman" w:hAnsi="Times New Roman" w:cs="Times New Roman"/>
          <w:b/>
          <w:bCs/>
          <w14:ligatures w14:val="none"/>
        </w:rPr>
      </w:pPr>
    </w:p>
    <w:p w:rsidR="003D1330" w:rsidRDefault="003D1330" w:rsidP="003D1330">
      <w:pPr>
        <w:bidi w:val="0"/>
        <w:spacing w:after="0" w:line="240" w:lineRule="auto"/>
        <w:rPr>
          <w:rFonts w:ascii="Times New Roman" w:eastAsia="Times New Roman" w:hAnsi="Times New Roman" w:cs="Times New Roman"/>
          <w:b/>
          <w:bCs/>
          <w14:ligatures w14:val="none"/>
        </w:rPr>
      </w:pPr>
    </w:p>
    <w:p w:rsidR="003D1330" w:rsidRDefault="003D1330" w:rsidP="003D1330">
      <w:pPr>
        <w:bidi w:val="0"/>
        <w:spacing w:after="0" w:line="240" w:lineRule="auto"/>
        <w:rPr>
          <w:rFonts w:ascii="Times New Roman" w:eastAsia="Times New Roman" w:hAnsi="Times New Roman" w:cs="Times New Roman"/>
          <w:b/>
          <w:bCs/>
          <w14:ligatures w14:val="none"/>
        </w:rPr>
      </w:pPr>
    </w:p>
    <w:p w:rsidR="003D1330" w:rsidRDefault="003D1330" w:rsidP="003D1330">
      <w:pPr>
        <w:bidi w:val="0"/>
        <w:spacing w:after="0" w:line="240" w:lineRule="auto"/>
        <w:rPr>
          <w:rFonts w:ascii="Times New Roman" w:eastAsia="Times New Roman" w:hAnsi="Times New Roman" w:cs="Times New Roman"/>
          <w:b/>
          <w:bCs/>
          <w14:ligatures w14:val="none"/>
        </w:rPr>
      </w:pPr>
    </w:p>
    <w:p w:rsidR="003D1330" w:rsidRDefault="003D1330" w:rsidP="003D1330">
      <w:pPr>
        <w:bidi w:val="0"/>
        <w:spacing w:after="0" w:line="240" w:lineRule="auto"/>
        <w:rPr>
          <w:rFonts w:ascii="Times New Roman" w:eastAsia="Times New Roman" w:hAnsi="Times New Roman" w:cs="Times New Roman"/>
          <w:b/>
          <w:bCs/>
          <w14:ligatures w14:val="none"/>
        </w:rPr>
      </w:pPr>
    </w:p>
    <w:p w:rsidR="003D1330" w:rsidRDefault="003D1330" w:rsidP="003D1330">
      <w:pPr>
        <w:bidi w:val="0"/>
        <w:spacing w:after="0" w:line="240" w:lineRule="auto"/>
        <w:rPr>
          <w:rFonts w:ascii="Times New Roman" w:eastAsia="Times New Roman" w:hAnsi="Times New Roman" w:cs="Times New Roman"/>
          <w:b/>
          <w:bCs/>
          <w14:ligatures w14:val="none"/>
        </w:rPr>
      </w:pPr>
    </w:p>
    <w:p w:rsidR="003D1330" w:rsidRDefault="003D1330" w:rsidP="003D1330">
      <w:pPr>
        <w:bidi w:val="0"/>
        <w:spacing w:after="0" w:line="240" w:lineRule="auto"/>
        <w:rPr>
          <w:rFonts w:ascii="Times New Roman" w:eastAsia="Times New Roman" w:hAnsi="Times New Roman" w:cs="Times New Roman"/>
          <w:b/>
          <w:bCs/>
          <w14:ligatures w14:val="none"/>
        </w:rPr>
      </w:pPr>
    </w:p>
    <w:p w:rsidR="003D1330" w:rsidRDefault="003D1330" w:rsidP="003D1330">
      <w:pPr>
        <w:bidi w:val="0"/>
        <w:spacing w:after="0" w:line="240" w:lineRule="auto"/>
        <w:rPr>
          <w:rFonts w:ascii="Times New Roman" w:eastAsia="Times New Roman" w:hAnsi="Times New Roman" w:cs="Times New Roman"/>
          <w:b/>
          <w:bCs/>
          <w14:ligatures w14:val="none"/>
        </w:rPr>
      </w:pPr>
    </w:p>
    <w:p w:rsidR="003D1330" w:rsidRDefault="003D1330" w:rsidP="003D1330">
      <w:pPr>
        <w:bidi w:val="0"/>
        <w:spacing w:after="0" w:line="240" w:lineRule="auto"/>
        <w:rPr>
          <w:rFonts w:ascii="Times New Roman" w:eastAsia="Times New Roman" w:hAnsi="Times New Roman" w:cs="Times New Roman"/>
          <w:b/>
          <w:bCs/>
          <w14:ligatures w14:val="none"/>
        </w:rPr>
      </w:pPr>
    </w:p>
    <w:p w:rsidR="003D1330" w:rsidRDefault="003D1330" w:rsidP="003D1330">
      <w:pPr>
        <w:bidi w:val="0"/>
        <w:spacing w:after="0" w:line="240" w:lineRule="auto"/>
        <w:rPr>
          <w:rFonts w:ascii="Times New Roman" w:eastAsia="Times New Roman" w:hAnsi="Times New Roman" w:cs="Times New Roman"/>
          <w:b/>
          <w:bCs/>
          <w14:ligatures w14:val="none"/>
        </w:rPr>
      </w:pPr>
    </w:p>
    <w:p w:rsidR="003D1330" w:rsidRDefault="003D1330" w:rsidP="003D1330">
      <w:pPr>
        <w:bidi w:val="0"/>
        <w:spacing w:after="0" w:line="240" w:lineRule="auto"/>
        <w:rPr>
          <w:rFonts w:ascii="Times New Roman" w:eastAsia="Times New Roman" w:hAnsi="Times New Roman" w:cs="Times New Roman"/>
          <w:b/>
          <w:bCs/>
          <w14:ligatures w14:val="none"/>
        </w:rPr>
      </w:pPr>
    </w:p>
    <w:p w:rsidR="003D1330" w:rsidRDefault="003D1330" w:rsidP="003D1330">
      <w:pPr>
        <w:bidi w:val="0"/>
        <w:spacing w:after="0" w:line="240" w:lineRule="auto"/>
        <w:rPr>
          <w:rFonts w:ascii="Times New Roman" w:eastAsia="Times New Roman" w:hAnsi="Times New Roman" w:cs="Times New Roman"/>
          <w:b/>
          <w:bCs/>
          <w14:ligatures w14:val="none"/>
        </w:rPr>
      </w:pPr>
    </w:p>
    <w:p w:rsidR="003D1330" w:rsidRDefault="003D1330" w:rsidP="003D1330">
      <w:pPr>
        <w:bidi w:val="0"/>
        <w:spacing w:after="0" w:line="240" w:lineRule="auto"/>
        <w:rPr>
          <w:rFonts w:ascii="Times New Roman" w:eastAsia="Times New Roman" w:hAnsi="Times New Roman" w:cs="Times New Roman"/>
          <w:b/>
          <w:bCs/>
          <w14:ligatures w14:val="none"/>
        </w:rPr>
      </w:pPr>
    </w:p>
    <w:p w:rsidR="003D1330" w:rsidRDefault="003D1330" w:rsidP="003D1330">
      <w:pPr>
        <w:bidi w:val="0"/>
        <w:spacing w:after="0" w:line="240" w:lineRule="auto"/>
        <w:rPr>
          <w:rFonts w:ascii="Times New Roman" w:eastAsia="Times New Roman" w:hAnsi="Times New Roman" w:cs="Times New Roman"/>
          <w:b/>
          <w:bCs/>
          <w14:ligatures w14:val="none"/>
        </w:rPr>
      </w:pPr>
    </w:p>
    <w:p w:rsidR="003D1330" w:rsidRDefault="003D1330" w:rsidP="003D1330">
      <w:pPr>
        <w:bidi w:val="0"/>
        <w:spacing w:after="0" w:line="240" w:lineRule="auto"/>
        <w:rPr>
          <w:rFonts w:ascii="Times New Roman" w:eastAsia="Times New Roman" w:hAnsi="Times New Roman" w:cs="Times New Roman"/>
          <w:b/>
          <w:bCs/>
          <w14:ligatures w14:val="none"/>
        </w:rPr>
      </w:pPr>
    </w:p>
    <w:p w:rsidR="003D1330" w:rsidRDefault="003D1330" w:rsidP="003D1330">
      <w:pPr>
        <w:bidi w:val="0"/>
        <w:spacing w:after="0" w:line="240" w:lineRule="auto"/>
        <w:rPr>
          <w:rFonts w:ascii="Times New Roman" w:eastAsia="Times New Roman" w:hAnsi="Times New Roman" w:cs="Times New Roman"/>
          <w:b/>
          <w:bCs/>
          <w14:ligatures w14:val="none"/>
        </w:rPr>
      </w:pPr>
    </w:p>
    <w:p w:rsidR="003D1330" w:rsidRDefault="003D1330" w:rsidP="003D1330">
      <w:pPr>
        <w:bidi w:val="0"/>
        <w:spacing w:after="0" w:line="240" w:lineRule="auto"/>
        <w:rPr>
          <w:rFonts w:ascii="Times New Roman" w:eastAsia="Times New Roman" w:hAnsi="Times New Roman" w:cs="Times New Roman"/>
          <w:b/>
          <w:bCs/>
          <w14:ligatures w14:val="none"/>
        </w:rPr>
      </w:pPr>
    </w:p>
    <w:p w:rsidR="003D1330" w:rsidRDefault="003D1330" w:rsidP="003D1330">
      <w:pPr>
        <w:bidi w:val="0"/>
        <w:spacing w:after="0" w:line="240" w:lineRule="auto"/>
        <w:rPr>
          <w:rFonts w:ascii="Times New Roman" w:eastAsia="Times New Roman" w:hAnsi="Times New Roman" w:cs="Times New Roman"/>
          <w:b/>
          <w:bCs/>
          <w14:ligatures w14:val="none"/>
        </w:rPr>
      </w:pPr>
    </w:p>
    <w:p w:rsidR="003D1330" w:rsidRDefault="003D1330" w:rsidP="003D1330">
      <w:pPr>
        <w:bidi w:val="0"/>
        <w:spacing w:after="0" w:line="240" w:lineRule="auto"/>
        <w:rPr>
          <w:rFonts w:ascii="Times New Roman" w:eastAsia="Times New Roman" w:hAnsi="Times New Roman" w:cs="Times New Roman"/>
          <w:b/>
          <w:bCs/>
          <w14:ligatures w14:val="none"/>
        </w:rPr>
      </w:pPr>
    </w:p>
    <w:p w:rsidR="003D1330" w:rsidRDefault="003D1330" w:rsidP="003D1330">
      <w:pPr>
        <w:bidi w:val="0"/>
        <w:spacing w:after="0" w:line="240" w:lineRule="auto"/>
        <w:rPr>
          <w:rFonts w:ascii="Times New Roman" w:eastAsia="Times New Roman" w:hAnsi="Times New Roman" w:cs="Times New Roman"/>
          <w:b/>
          <w:bCs/>
          <w14:ligatures w14:val="none"/>
        </w:rPr>
      </w:pPr>
    </w:p>
    <w:p w:rsidR="003D1330" w:rsidRDefault="003D1330" w:rsidP="003D1330">
      <w:pPr>
        <w:bidi w:val="0"/>
        <w:spacing w:after="0" w:line="240" w:lineRule="auto"/>
        <w:rPr>
          <w:rFonts w:ascii="Times New Roman" w:eastAsia="Times New Roman" w:hAnsi="Times New Roman" w:cs="Times New Roman"/>
          <w:b/>
          <w:bCs/>
          <w14:ligatures w14:val="none"/>
        </w:rPr>
      </w:pPr>
    </w:p>
    <w:p w:rsidR="003D1330" w:rsidRPr="003D1330" w:rsidRDefault="003D1330" w:rsidP="003D1330">
      <w:pPr>
        <w:bidi w:val="0"/>
        <w:spacing w:after="0" w:line="240" w:lineRule="auto"/>
        <w:rPr>
          <w:rFonts w:ascii="Times New Roman" w:eastAsia="Times New Roman" w:hAnsi="Times New Roman" w:cs="Times New Roman"/>
          <w:b/>
          <w:bCs/>
          <w14:ligatures w14:val="none"/>
        </w:rPr>
      </w:pPr>
    </w:p>
    <w:p w:rsidR="007E50C4" w:rsidRPr="003D1330" w:rsidRDefault="007E50C4" w:rsidP="007E50C4">
      <w:pPr>
        <w:bidi w:val="0"/>
        <w:spacing w:after="0" w:line="240" w:lineRule="auto"/>
        <w:rPr>
          <w:rFonts w:ascii="Times New Roman" w:eastAsia="Times New Roman" w:hAnsi="Times New Roman" w:cs="Times New Roman"/>
          <w:b/>
          <w:bCs/>
          <w14:ligatures w14:val="none"/>
        </w:rPr>
      </w:pPr>
    </w:p>
    <w:p w:rsidR="009568BB" w:rsidRPr="003D1330" w:rsidRDefault="009568BB" w:rsidP="007E50C4">
      <w:pPr>
        <w:bidi w:val="0"/>
        <w:spacing w:after="0" w:line="240" w:lineRule="auto"/>
        <w:rPr>
          <w:rFonts w:ascii="Times New Roman" w:eastAsia="Times New Roman" w:hAnsi="Times New Roman" w:cs="Times New Roman"/>
          <w:b/>
          <w:bCs/>
          <w14:ligatures w14:val="none"/>
        </w:rPr>
      </w:pPr>
      <w:r w:rsidRPr="003D1330">
        <w:rPr>
          <w:rFonts w:ascii="Times New Roman" w:eastAsia="Times New Roman" w:hAnsi="Times New Roman" w:cs="Times New Roman"/>
          <w:b/>
          <w:bCs/>
          <w14:ligatures w14:val="none"/>
        </w:rPr>
        <w:t>References</w:t>
      </w:r>
    </w:p>
    <w:p w:rsidR="009568BB" w:rsidRPr="003D1330" w:rsidRDefault="009568BB" w:rsidP="009568BB">
      <w:pPr>
        <w:bidi w:val="0"/>
        <w:spacing w:after="0" w:line="240" w:lineRule="auto"/>
        <w:rPr>
          <w:rFonts w:ascii="Times New Roman" w:eastAsia="Times New Roman" w:hAnsi="Times New Roman" w:cs="Times New Roman"/>
          <w14:ligatures w14:val="none"/>
        </w:rPr>
      </w:pP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Cook, V., &amp; Bassetti, B. (2005). Second language writing systems. Multilingual Matters.</w:t>
      </w: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Kormos, J. (2020). The second language learning processes of students with specific learning difficulties. Routledge.</w:t>
      </w: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Kormos, J., &amp; Kontra, E. H. (2008). Language learners with special needs: An international perspective. Multilingual Matters.</w:t>
      </w: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Kormos, J., &amp; Smith, A. M. (2012). Teaching languages to students with specific learning differences. Multilingual Matters.</w:t>
      </w: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Lyon, G. R., Shaywitz, S. E., &amp; Shaywitz, B. A. (2003). A definition of dyslexia. Annals of Dyslexia, 53(1), 1–14.</w:t>
      </w: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Meyer, A., Rose, D. H., &amp; Gordon, D. (2014). Universal design for learning: Theory and practice. CAST Professional Publishing.</w:t>
      </w: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Nijakowska, J. (2010). Dyslexia in the foreign language classroom. Multilingual Matters.</w:t>
      </w: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Reid, G. (2016). Dyslexia: A practitioner’s handbook (5th ed.). Wiley-Blackwell.</w:t>
      </w: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Schneider, E., &amp; Crombie, M. (2003). Dyslexia and foreign language learning. David Fulton Publishers.</w:t>
      </w: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Shaywitz, S. (2008). Overcoming dyslexia: A new and complete science-based program for reading problems at any level. Knopf.</w:t>
      </w:r>
    </w:p>
    <w:p w:rsidR="009568BB" w:rsidRPr="003D1330" w:rsidRDefault="009568BB" w:rsidP="009568BB">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Snowling, M. J. (2019). Dyslexia: A very short introduction (2nd ed.). Oxford University Press.</w:t>
      </w:r>
    </w:p>
    <w:p w:rsidR="007A1204" w:rsidRPr="003D1330" w:rsidRDefault="007A1204" w:rsidP="009568BB">
      <w:pPr>
        <w:bidi w:val="0"/>
        <w:rPr>
          <w:rFonts w:ascii="Times New Roman" w:hAnsi="Times New Roman" w:cs="Times New Roman"/>
        </w:rPr>
      </w:pPr>
    </w:p>
    <w:p w:rsidR="003D1330" w:rsidRDefault="003D1330" w:rsidP="00D97797">
      <w:pPr>
        <w:bidi w:val="0"/>
        <w:spacing w:after="0" w:line="240" w:lineRule="auto"/>
        <w:rPr>
          <w:rFonts w:ascii="Times New Roman" w:hAnsi="Times New Roman" w:cs="Times New Roman"/>
        </w:rPr>
      </w:pPr>
    </w:p>
    <w:p w:rsidR="003D1330" w:rsidRDefault="003D1330" w:rsidP="003D1330">
      <w:pPr>
        <w:bidi w:val="0"/>
        <w:spacing w:after="0" w:line="240" w:lineRule="auto"/>
        <w:rPr>
          <w:rFonts w:ascii="Times New Roman" w:hAnsi="Times New Roman" w:cs="Times New Roman"/>
        </w:rPr>
      </w:pPr>
    </w:p>
    <w:p w:rsidR="003D1330" w:rsidRDefault="003D1330" w:rsidP="003D1330">
      <w:pPr>
        <w:bidi w:val="0"/>
        <w:spacing w:after="0" w:line="240" w:lineRule="auto"/>
        <w:rPr>
          <w:rFonts w:ascii="Times New Roman" w:hAnsi="Times New Roman" w:cs="Times New Roman"/>
        </w:rPr>
      </w:pPr>
    </w:p>
    <w:p w:rsidR="003D1330" w:rsidRDefault="003D1330" w:rsidP="003D1330">
      <w:pPr>
        <w:bidi w:val="0"/>
        <w:spacing w:after="0" w:line="240" w:lineRule="auto"/>
        <w:rPr>
          <w:rFonts w:ascii="Times New Roman" w:hAnsi="Times New Roman" w:cs="Times New Roman"/>
        </w:rPr>
      </w:pPr>
    </w:p>
    <w:p w:rsidR="003D1330" w:rsidRDefault="003D1330" w:rsidP="003D1330">
      <w:pPr>
        <w:bidi w:val="0"/>
        <w:spacing w:after="0" w:line="240" w:lineRule="auto"/>
        <w:rPr>
          <w:rFonts w:ascii="Times New Roman" w:hAnsi="Times New Roman" w:cs="Times New Roman"/>
        </w:rPr>
      </w:pPr>
    </w:p>
    <w:p w:rsidR="003D1330" w:rsidRDefault="003D1330" w:rsidP="003D1330">
      <w:pPr>
        <w:bidi w:val="0"/>
        <w:spacing w:after="0" w:line="240" w:lineRule="auto"/>
        <w:rPr>
          <w:rFonts w:ascii="Times New Roman" w:hAnsi="Times New Roman" w:cs="Times New Roman"/>
        </w:rPr>
      </w:pPr>
    </w:p>
    <w:p w:rsidR="003D1330" w:rsidRDefault="003D1330" w:rsidP="003D1330">
      <w:pPr>
        <w:bidi w:val="0"/>
        <w:spacing w:after="0" w:line="240" w:lineRule="auto"/>
        <w:rPr>
          <w:rFonts w:ascii="Times New Roman" w:hAnsi="Times New Roman" w:cs="Times New Roman"/>
        </w:rPr>
      </w:pPr>
    </w:p>
    <w:p w:rsidR="003D1330" w:rsidRDefault="003D1330" w:rsidP="003D1330">
      <w:pPr>
        <w:bidi w:val="0"/>
        <w:spacing w:after="0" w:line="240" w:lineRule="auto"/>
        <w:rPr>
          <w:rFonts w:ascii="Times New Roman" w:hAnsi="Times New Roman" w:cs="Times New Roman"/>
        </w:rPr>
      </w:pPr>
    </w:p>
    <w:p w:rsidR="003D1330" w:rsidRDefault="003D1330" w:rsidP="003D1330">
      <w:pPr>
        <w:bidi w:val="0"/>
        <w:spacing w:after="0" w:line="240" w:lineRule="auto"/>
        <w:rPr>
          <w:rFonts w:ascii="Times New Roman" w:hAnsi="Times New Roman" w:cs="Times New Roman"/>
        </w:rPr>
      </w:pPr>
    </w:p>
    <w:p w:rsidR="003D1330" w:rsidRDefault="003D1330" w:rsidP="003D1330">
      <w:pPr>
        <w:bidi w:val="0"/>
        <w:spacing w:after="0" w:line="240" w:lineRule="auto"/>
        <w:rPr>
          <w:rFonts w:ascii="Times New Roman" w:hAnsi="Times New Roman" w:cs="Times New Roman"/>
        </w:rPr>
      </w:pPr>
    </w:p>
    <w:p w:rsidR="003D1330" w:rsidRDefault="003D1330" w:rsidP="003D1330">
      <w:pPr>
        <w:bidi w:val="0"/>
        <w:spacing w:after="0" w:line="240" w:lineRule="auto"/>
        <w:rPr>
          <w:rFonts w:ascii="Times New Roman" w:hAnsi="Times New Roman" w:cs="Times New Roman"/>
        </w:rPr>
      </w:pPr>
    </w:p>
    <w:p w:rsidR="003D1330" w:rsidRDefault="003D1330" w:rsidP="003D1330">
      <w:pPr>
        <w:bidi w:val="0"/>
        <w:spacing w:after="0" w:line="240" w:lineRule="auto"/>
        <w:rPr>
          <w:rFonts w:ascii="Times New Roman" w:hAnsi="Times New Roman" w:cs="Times New Roman"/>
        </w:rPr>
      </w:pPr>
    </w:p>
    <w:p w:rsidR="003D1330" w:rsidRDefault="003D1330" w:rsidP="003D1330">
      <w:pPr>
        <w:bidi w:val="0"/>
        <w:spacing w:after="0" w:line="240" w:lineRule="auto"/>
        <w:rPr>
          <w:rFonts w:ascii="Times New Roman" w:hAnsi="Times New Roman" w:cs="Times New Roman"/>
        </w:rPr>
      </w:pPr>
    </w:p>
    <w:p w:rsidR="003D1330" w:rsidRDefault="003D1330" w:rsidP="003D1330">
      <w:pPr>
        <w:bidi w:val="0"/>
        <w:spacing w:after="0" w:line="240" w:lineRule="auto"/>
        <w:rPr>
          <w:rFonts w:ascii="Times New Roman" w:hAnsi="Times New Roman" w:cs="Times New Roman"/>
        </w:rPr>
      </w:pPr>
    </w:p>
    <w:p w:rsidR="003D1330" w:rsidRDefault="003D1330" w:rsidP="003D1330">
      <w:pPr>
        <w:bidi w:val="0"/>
        <w:spacing w:after="0" w:line="240" w:lineRule="auto"/>
        <w:rPr>
          <w:rFonts w:ascii="Times New Roman" w:hAnsi="Times New Roman" w:cs="Times New Roman"/>
        </w:rPr>
      </w:pPr>
    </w:p>
    <w:p w:rsidR="003D1330" w:rsidRDefault="003D1330" w:rsidP="003D1330">
      <w:pPr>
        <w:bidi w:val="0"/>
        <w:spacing w:after="0" w:line="240" w:lineRule="auto"/>
        <w:rPr>
          <w:rFonts w:ascii="Times New Roman" w:hAnsi="Times New Roman" w:cs="Times New Roman"/>
        </w:rPr>
      </w:pPr>
    </w:p>
    <w:p w:rsidR="003D1330" w:rsidRDefault="003D1330" w:rsidP="003D1330">
      <w:pPr>
        <w:bidi w:val="0"/>
        <w:spacing w:after="0" w:line="240" w:lineRule="auto"/>
        <w:rPr>
          <w:rFonts w:ascii="Times New Roman" w:hAnsi="Times New Roman" w:cs="Times New Roman"/>
        </w:rPr>
      </w:pPr>
    </w:p>
    <w:p w:rsidR="003D1330" w:rsidRDefault="003D1330" w:rsidP="003D1330">
      <w:pPr>
        <w:bidi w:val="0"/>
        <w:spacing w:after="0" w:line="240" w:lineRule="auto"/>
        <w:rPr>
          <w:rFonts w:ascii="Times New Roman" w:hAnsi="Times New Roman" w:cs="Times New Roman"/>
        </w:rPr>
      </w:pPr>
    </w:p>
    <w:p w:rsidR="003D1330" w:rsidRDefault="003D1330" w:rsidP="003D1330">
      <w:pPr>
        <w:bidi w:val="0"/>
        <w:spacing w:after="0" w:line="240" w:lineRule="auto"/>
        <w:rPr>
          <w:rFonts w:ascii="Times New Roman" w:hAnsi="Times New Roman" w:cs="Times New Roman"/>
        </w:rPr>
      </w:pPr>
    </w:p>
    <w:p w:rsidR="003D1330" w:rsidRDefault="003D1330" w:rsidP="003D1330">
      <w:pPr>
        <w:bidi w:val="0"/>
        <w:spacing w:after="0" w:line="240" w:lineRule="auto"/>
        <w:rPr>
          <w:rFonts w:ascii="Times New Roman" w:hAnsi="Times New Roman" w:cs="Times New Roman"/>
        </w:rPr>
      </w:pPr>
    </w:p>
    <w:p w:rsidR="003D1330" w:rsidRDefault="003D1330" w:rsidP="003D1330">
      <w:pPr>
        <w:bidi w:val="0"/>
        <w:spacing w:after="0" w:line="240" w:lineRule="auto"/>
        <w:rPr>
          <w:rFonts w:ascii="Times New Roman" w:hAnsi="Times New Roman" w:cs="Times New Roman"/>
        </w:rPr>
      </w:pPr>
    </w:p>
    <w:p w:rsidR="003D1330" w:rsidRDefault="003D1330" w:rsidP="003D1330">
      <w:pPr>
        <w:bidi w:val="0"/>
        <w:spacing w:after="0" w:line="240" w:lineRule="auto"/>
        <w:rPr>
          <w:rFonts w:ascii="Times New Roman" w:hAnsi="Times New Roman" w:cs="Times New Roman"/>
        </w:rPr>
      </w:pPr>
    </w:p>
    <w:p w:rsidR="003D1330" w:rsidRDefault="003D1330" w:rsidP="003D1330">
      <w:pPr>
        <w:bidi w:val="0"/>
        <w:spacing w:after="0" w:line="240" w:lineRule="auto"/>
        <w:rPr>
          <w:rFonts w:ascii="Times New Roman" w:hAnsi="Times New Roman" w:cs="Times New Roman"/>
        </w:rPr>
      </w:pPr>
    </w:p>
    <w:p w:rsidR="003D1330" w:rsidRDefault="003D1330" w:rsidP="003D1330">
      <w:pPr>
        <w:bidi w:val="0"/>
        <w:spacing w:after="0" w:line="240" w:lineRule="auto"/>
        <w:rPr>
          <w:rFonts w:ascii="Times New Roman" w:hAnsi="Times New Roman" w:cs="Times New Roman"/>
        </w:rPr>
      </w:pPr>
    </w:p>
    <w:p w:rsidR="00D97797" w:rsidRPr="003D1330" w:rsidRDefault="00D97797" w:rsidP="003D1330">
      <w:pPr>
        <w:bidi w:val="0"/>
        <w:spacing w:after="0" w:line="240" w:lineRule="auto"/>
        <w:rPr>
          <w:rFonts w:ascii="Times New Roman" w:eastAsia="Times New Roman" w:hAnsi="Times New Roman" w:cs="Times New Roman"/>
          <w:b/>
          <w:bCs/>
          <w14:ligatures w14:val="none"/>
        </w:rPr>
      </w:pPr>
      <w:r w:rsidRPr="003D1330">
        <w:rPr>
          <w:rFonts w:ascii="Times New Roman" w:eastAsia="Times New Roman" w:hAnsi="Times New Roman" w:cs="Times New Roman"/>
          <w:b/>
          <w:bCs/>
          <w14:ligatures w14:val="none"/>
        </w:rPr>
        <w:t>Abstract</w:t>
      </w:r>
    </w:p>
    <w:p w:rsidR="00D97797" w:rsidRPr="003D1330" w:rsidRDefault="00D97797" w:rsidP="00D97797">
      <w:pPr>
        <w:bidi w:val="0"/>
        <w:spacing w:after="0" w:line="240" w:lineRule="auto"/>
        <w:rPr>
          <w:rFonts w:ascii="Times New Roman" w:eastAsia="Times New Roman" w:hAnsi="Times New Roman" w:cs="Times New Roman"/>
          <w14:ligatures w14:val="none"/>
        </w:rPr>
      </w:pPr>
    </w:p>
    <w:p w:rsidR="00D97797" w:rsidRPr="003D1330" w:rsidRDefault="00D97797" w:rsidP="00D97797">
      <w:pPr>
        <w:bidi w:val="0"/>
        <w:spacing w:after="0" w:line="240" w:lineRule="auto"/>
        <w:rPr>
          <w:rFonts w:ascii="Times New Roman" w:eastAsia="Times New Roman" w:hAnsi="Times New Roman" w:cs="Times New Roman"/>
          <w14:ligatures w14:val="none"/>
        </w:rPr>
      </w:pPr>
      <w:r w:rsidRPr="003D1330">
        <w:rPr>
          <w:rFonts w:ascii="Times New Roman" w:eastAsia="Times New Roman" w:hAnsi="Times New Roman" w:cs="Times New Roman"/>
          <w14:ligatures w14:val="none"/>
        </w:rPr>
        <w:t>Dyslexia, a specific learning difficulty that affects reading, writing, and spelling, presents unique challenges for English as a Foreign Language (EFL) learners. In inclusive educational settings, teachers must balance curriculum demands with the individualized needs of students who struggle with decoding and processing linguistic input. This review synthesizes recent empirical and theoretical research on inclusion practices for dyslexic students in EFL classrooms. It explores challenges such as teacher preparedness, linguistic complexity, and assessment fairness, while proposing evidence-based solutions including multisensory instruction, assistive technology, differentiated assessment, and teacher professional development. The paper concludes that inclusive EFL pedagogy requires a shift from traditional accuracy-based instruction to learner-centered and flexible frameworks grounded in the Universal Design for Learning (UDL).</w:t>
      </w:r>
    </w:p>
    <w:p w:rsidR="00D97797" w:rsidRPr="003D1330" w:rsidRDefault="00D97797" w:rsidP="00D97797">
      <w:pPr>
        <w:bidi w:val="0"/>
        <w:spacing w:after="0" w:line="240" w:lineRule="auto"/>
        <w:rPr>
          <w:rFonts w:ascii="Times New Roman" w:eastAsia="Times New Roman" w:hAnsi="Times New Roman" w:cs="Times New Roman"/>
          <w14:ligatures w14:val="none"/>
        </w:rPr>
      </w:pPr>
    </w:p>
    <w:p w:rsidR="00D97797" w:rsidRPr="003D1330" w:rsidRDefault="00D97797" w:rsidP="00D97797">
      <w:pPr>
        <w:bidi w:val="0"/>
        <w:rPr>
          <w:rFonts w:ascii="Times New Roman" w:hAnsi="Times New Roman" w:cs="Times New Roman"/>
        </w:rPr>
      </w:pPr>
    </w:p>
    <w:sectPr w:rsidR="00D97797" w:rsidRPr="003D1330" w:rsidSect="00D201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azanin">
    <w:altName w:val="Arial"/>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B68F6"/>
    <w:multiLevelType w:val="multilevel"/>
    <w:tmpl w:val="57200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4864422"/>
    <w:multiLevelType w:val="multilevel"/>
    <w:tmpl w:val="57200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1047CB5"/>
    <w:multiLevelType w:val="multilevel"/>
    <w:tmpl w:val="57200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22E132E"/>
    <w:multiLevelType w:val="multilevel"/>
    <w:tmpl w:val="57200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79434451">
    <w:abstractNumId w:val="2"/>
  </w:num>
  <w:num w:numId="2" w16cid:durableId="21637655">
    <w:abstractNumId w:val="0"/>
  </w:num>
  <w:num w:numId="3" w16cid:durableId="185562207">
    <w:abstractNumId w:val="1"/>
  </w:num>
  <w:num w:numId="4" w16cid:durableId="20985493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8BB"/>
    <w:rsid w:val="000A60DE"/>
    <w:rsid w:val="00174262"/>
    <w:rsid w:val="00251FBD"/>
    <w:rsid w:val="003D1330"/>
    <w:rsid w:val="00444A75"/>
    <w:rsid w:val="004B5AF7"/>
    <w:rsid w:val="004D511D"/>
    <w:rsid w:val="00511038"/>
    <w:rsid w:val="00697229"/>
    <w:rsid w:val="007A1204"/>
    <w:rsid w:val="007E50C4"/>
    <w:rsid w:val="009568BB"/>
    <w:rsid w:val="009C25B6"/>
    <w:rsid w:val="00A131B8"/>
    <w:rsid w:val="00A70143"/>
    <w:rsid w:val="00B91F16"/>
    <w:rsid w:val="00D201A2"/>
    <w:rsid w:val="00D20286"/>
    <w:rsid w:val="00D97797"/>
    <w:rsid w:val="00DA70B8"/>
    <w:rsid w:val="00F8030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C4720"/>
  <w15:chartTrackingRefBased/>
  <w15:docId w15:val="{655AB4B7-0044-434F-8445-4AEC8B807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fa-IR"/>
        <w14:ligatures w14:val="standardContextual"/>
      </w:rPr>
    </w:rPrDefault>
    <w:pPrDefault>
      <w:pPr>
        <w:bidi/>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68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568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568B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568B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568B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568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68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68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68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68B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568B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568B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568B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568B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568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68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68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68BB"/>
    <w:rPr>
      <w:rFonts w:eastAsiaTheme="majorEastAsia" w:cstheme="majorBidi"/>
      <w:color w:val="272727" w:themeColor="text1" w:themeTint="D8"/>
    </w:rPr>
  </w:style>
  <w:style w:type="paragraph" w:styleId="Title">
    <w:name w:val="Title"/>
    <w:basedOn w:val="Normal"/>
    <w:next w:val="Normal"/>
    <w:link w:val="TitleChar"/>
    <w:uiPriority w:val="10"/>
    <w:qFormat/>
    <w:rsid w:val="009568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68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68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68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68BB"/>
    <w:pPr>
      <w:spacing w:before="160"/>
      <w:jc w:val="center"/>
    </w:pPr>
    <w:rPr>
      <w:i/>
      <w:iCs/>
      <w:color w:val="404040" w:themeColor="text1" w:themeTint="BF"/>
    </w:rPr>
  </w:style>
  <w:style w:type="character" w:customStyle="1" w:styleId="QuoteChar">
    <w:name w:val="Quote Char"/>
    <w:basedOn w:val="DefaultParagraphFont"/>
    <w:link w:val="Quote"/>
    <w:uiPriority w:val="29"/>
    <w:rsid w:val="009568BB"/>
    <w:rPr>
      <w:i/>
      <w:iCs/>
      <w:color w:val="404040" w:themeColor="text1" w:themeTint="BF"/>
    </w:rPr>
  </w:style>
  <w:style w:type="paragraph" w:styleId="ListParagraph">
    <w:name w:val="List Paragraph"/>
    <w:basedOn w:val="Normal"/>
    <w:uiPriority w:val="34"/>
    <w:qFormat/>
    <w:rsid w:val="009568BB"/>
    <w:pPr>
      <w:ind w:left="720"/>
      <w:contextualSpacing/>
    </w:pPr>
  </w:style>
  <w:style w:type="character" w:styleId="IntenseEmphasis">
    <w:name w:val="Intense Emphasis"/>
    <w:basedOn w:val="DefaultParagraphFont"/>
    <w:uiPriority w:val="21"/>
    <w:qFormat/>
    <w:rsid w:val="009568BB"/>
    <w:rPr>
      <w:i/>
      <w:iCs/>
      <w:color w:val="2F5496" w:themeColor="accent1" w:themeShade="BF"/>
    </w:rPr>
  </w:style>
  <w:style w:type="paragraph" w:styleId="IntenseQuote">
    <w:name w:val="Intense Quote"/>
    <w:basedOn w:val="Normal"/>
    <w:next w:val="Normal"/>
    <w:link w:val="IntenseQuoteChar"/>
    <w:uiPriority w:val="30"/>
    <w:qFormat/>
    <w:rsid w:val="009568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568BB"/>
    <w:rPr>
      <w:i/>
      <w:iCs/>
      <w:color w:val="2F5496" w:themeColor="accent1" w:themeShade="BF"/>
    </w:rPr>
  </w:style>
  <w:style w:type="character" w:styleId="IntenseReference">
    <w:name w:val="Intense Reference"/>
    <w:basedOn w:val="DefaultParagraphFont"/>
    <w:uiPriority w:val="32"/>
    <w:qFormat/>
    <w:rsid w:val="009568BB"/>
    <w:rPr>
      <w:b/>
      <w:bCs/>
      <w:smallCaps/>
      <w:color w:val="2F5496" w:themeColor="accent1" w:themeShade="BF"/>
      <w:spacing w:val="5"/>
    </w:rPr>
  </w:style>
  <w:style w:type="paragraph" w:styleId="NormalWeb">
    <w:name w:val="Normal (Web)"/>
    <w:basedOn w:val="Normal"/>
    <w:uiPriority w:val="99"/>
    <w:semiHidden/>
    <w:unhideWhenUsed/>
    <w:rsid w:val="00A70143"/>
    <w:pPr>
      <w:bidi w:val="0"/>
      <w:spacing w:before="100" w:beforeAutospacing="1" w:after="100" w:afterAutospacing="1" w:line="240" w:lineRule="auto"/>
    </w:pPr>
    <w:rPr>
      <w:rFonts w:ascii="Times New Roman" w:eastAsia="Times New Roman" w:hAnsi="Times New Roman" w:cs="Times New Roma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8</Pages>
  <Words>1992</Words>
  <Characters>11355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13</cp:revision>
  <dcterms:created xsi:type="dcterms:W3CDTF">2025-10-11T16:33:00Z</dcterms:created>
  <dcterms:modified xsi:type="dcterms:W3CDTF">2025-10-21T09:41:00Z</dcterms:modified>
</cp:coreProperties>
</file>