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3373A0" w14:textId="77777777" w:rsidR="00931BA1" w:rsidRDefault="00931BA1" w:rsidP="00931BA1">
      <w:pPr>
        <w:pStyle w:val="Title"/>
        <w:rPr>
          <w:rFonts w:cs="Nazanin"/>
          <w:b w:val="0"/>
          <w:bCs w:val="0"/>
          <w:sz w:val="28"/>
        </w:rPr>
      </w:pPr>
      <w:bookmarkStart w:id="0" w:name="OLE_LINK15"/>
      <w:bookmarkStart w:id="1" w:name="OLE_LINK10"/>
      <w:bookmarkStart w:id="2" w:name="OLE_LINK11"/>
      <w:bookmarkStart w:id="3" w:name="OLE_LINK14"/>
    </w:p>
    <w:bookmarkEnd w:id="0"/>
    <w:bookmarkEnd w:id="1"/>
    <w:bookmarkEnd w:id="2"/>
    <w:bookmarkEnd w:id="3"/>
    <w:p w14:paraId="7A9EB086" w14:textId="77777777" w:rsidR="00B4352A" w:rsidRDefault="00B4352A" w:rsidP="00B4352A">
      <w:pPr>
        <w:widowControl w:val="0"/>
        <w:rPr>
          <w:rFonts w:ascii="Garamond" w:hAnsi="Garamond"/>
          <w:color w:val="000000"/>
          <w:sz w:val="18"/>
          <w:szCs w:val="18"/>
        </w:rPr>
      </w:pPr>
      <w:r>
        <w:t> </w:t>
      </w:r>
    </w:p>
    <w:p w14:paraId="21025CF2" w14:textId="77777777" w:rsidR="00C54801" w:rsidRPr="00CA33AC" w:rsidRDefault="00C54801" w:rsidP="00C54801">
      <w:pPr>
        <w:autoSpaceDE w:val="0"/>
        <w:autoSpaceDN w:val="0"/>
        <w:jc w:val="center"/>
        <w:rPr>
          <w:rFonts w:asciiTheme="majorBidi" w:eastAsia="Vazir" w:hAnsiTheme="majorBidi" w:cstheme="majorBidi"/>
          <w:b/>
          <w:color w:val="000000"/>
          <w:sz w:val="24"/>
          <w:szCs w:val="24"/>
          <w:rtl/>
        </w:rPr>
      </w:pPr>
      <w:r w:rsidRPr="00CA33AC">
        <w:rPr>
          <w:rFonts w:asciiTheme="majorBidi" w:eastAsia="Vazir" w:hAnsiTheme="majorBidi" w:cstheme="majorBidi"/>
          <w:b/>
          <w:color w:val="000000"/>
          <w:sz w:val="24"/>
          <w:szCs w:val="24"/>
        </w:rPr>
        <w:t xml:space="preserve">Psychological Foundations of </w:t>
      </w:r>
      <w:r w:rsidRPr="00CA33AC">
        <w:rPr>
          <w:rFonts w:asciiTheme="majorBidi" w:hAnsiTheme="majorBidi" w:cstheme="majorBidi"/>
          <w:sz w:val="24"/>
          <w:szCs w:val="24"/>
        </w:rPr>
        <w:br/>
      </w:r>
      <w:r w:rsidRPr="00CA33AC">
        <w:rPr>
          <w:rFonts w:asciiTheme="majorBidi" w:eastAsia="Vazir" w:hAnsiTheme="majorBidi" w:cstheme="majorBidi"/>
          <w:b/>
          <w:color w:val="000000"/>
          <w:sz w:val="24"/>
          <w:szCs w:val="24"/>
        </w:rPr>
        <w:t>Educational Systems: A Critical Review of Pedagogical and Cognitive Principles</w:t>
      </w:r>
    </w:p>
    <w:p w14:paraId="1FF790E7" w14:textId="77777777" w:rsidR="00CB67CE" w:rsidRDefault="00CB67CE" w:rsidP="00CB67CE">
      <w:pPr>
        <w:bidi/>
        <w:jc w:val="center"/>
        <w:rPr>
          <w:rFonts w:cs="Nazanin"/>
          <w:b/>
          <w:bCs/>
        </w:rPr>
      </w:pPr>
    </w:p>
    <w:p w14:paraId="3DC8624D" w14:textId="079BB5CD" w:rsidR="00747DF5" w:rsidRPr="00C54801" w:rsidRDefault="00C54801" w:rsidP="00747DF5">
      <w:pPr>
        <w:bidi/>
        <w:jc w:val="center"/>
        <w:rPr>
          <w:rFonts w:cs="Nazanin"/>
          <w:b/>
          <w:bCs/>
        </w:rPr>
      </w:pPr>
      <w:r>
        <w:rPr>
          <w:rFonts w:cs="Nazanin"/>
          <w:b/>
          <w:bCs/>
        </w:rPr>
        <w:t>Sahar Naderi Vahed</w:t>
      </w:r>
    </w:p>
    <w:p w14:paraId="70FD0AA5" w14:textId="203B6E8C" w:rsidR="00747DF5" w:rsidRPr="0072225A" w:rsidRDefault="0072225A" w:rsidP="00747DF5">
      <w:pPr>
        <w:bidi/>
        <w:jc w:val="center"/>
        <w:rPr>
          <w:rFonts w:cs="Nazanin"/>
          <w:i/>
          <w:iCs/>
        </w:rPr>
      </w:pPr>
      <w:r w:rsidRPr="0072225A">
        <w:rPr>
          <w:rFonts w:cs="Nazanin"/>
          <w:i/>
          <w:iCs/>
        </w:rPr>
        <w:t>Master of Educational Psychology, Department of Psychology, Payam Noor University, Mahabad, Iran</w:t>
      </w:r>
    </w:p>
    <w:p w14:paraId="777EB59F" w14:textId="77777777" w:rsidR="00F728DC" w:rsidRDefault="00F728DC" w:rsidP="00B55AB2">
      <w:pPr>
        <w:pStyle w:val="Heading2"/>
        <w:ind w:left="567" w:right="567"/>
        <w:jc w:val="both"/>
        <w:rPr>
          <w:rFonts w:cs="Nazanin"/>
          <w:sz w:val="28"/>
          <w:szCs w:val="28"/>
        </w:rPr>
      </w:pPr>
    </w:p>
    <w:p w14:paraId="530A8E72" w14:textId="77777777" w:rsidR="00B55AB2" w:rsidRPr="00C54801" w:rsidRDefault="0016451D" w:rsidP="0016451D">
      <w:pPr>
        <w:pStyle w:val="Heading2"/>
        <w:ind w:left="567" w:right="567"/>
        <w:jc w:val="right"/>
        <w:rPr>
          <w:rFonts w:cs="Nazanin"/>
          <w:sz w:val="22"/>
          <w:szCs w:val="22"/>
        </w:rPr>
      </w:pPr>
      <w:r w:rsidRPr="00C54801">
        <w:rPr>
          <w:rFonts w:cs="Nazanin"/>
          <w:sz w:val="22"/>
          <w:szCs w:val="22"/>
        </w:rPr>
        <w:t>Abstract</w:t>
      </w:r>
    </w:p>
    <w:p w14:paraId="5678E152" w14:textId="763383B1" w:rsidR="00D14553" w:rsidRDefault="004A3E11" w:rsidP="00675B87">
      <w:pPr>
        <w:ind w:left="567" w:right="567"/>
        <w:jc w:val="both"/>
      </w:pPr>
      <w:bookmarkStart w:id="4" w:name="OLE_LINK8"/>
      <w:bookmarkStart w:id="5" w:name="OLE_LINK9"/>
      <w:r>
        <w:t>This paper presents an integrative review of the psychological foundations underlying contemporary</w:t>
      </w:r>
      <w:r w:rsidR="00675B87">
        <w:t xml:space="preserve"> </w:t>
      </w:r>
      <w:r>
        <w:t xml:space="preserve">educational systems, emphasizing cognitive, motivational, </w:t>
      </w:r>
      <w:r w:rsidR="00267703">
        <w:t>socio-emotional</w:t>
      </w:r>
      <w:r>
        <w:t>, and sociocultural</w:t>
      </w:r>
      <w:r w:rsidR="00675B87">
        <w:t xml:space="preserve"> </w:t>
      </w:r>
      <w:r>
        <w:t>dimensions that shape learners’ development and classroom engagement. Drawing on key</w:t>
      </w:r>
      <w:r w:rsidR="00675B87">
        <w:t xml:space="preserve"> </w:t>
      </w:r>
      <w:r>
        <w:t>psychological frameworks</w:t>
      </w:r>
      <w:r w:rsidR="001008A5">
        <w:t>-</w:t>
      </w:r>
      <w:r>
        <w:t>including behaviorism, cognitivism, constructivism, and</w:t>
      </w:r>
      <w:r w:rsidR="00675B87">
        <w:t xml:space="preserve"> </w:t>
      </w:r>
      <w:r w:rsidR="00267703">
        <w:t>self-theory-</w:t>
      </w:r>
      <w:r>
        <w:t xml:space="preserve"> </w:t>
      </w:r>
      <w:r w:rsidR="00267703">
        <w:t>the</w:t>
      </w:r>
      <w:r>
        <w:t xml:space="preserve"> study critically examines how principles of educational psychology</w:t>
      </w:r>
      <w:r w:rsidR="00675B87">
        <w:t xml:space="preserve"> </w:t>
      </w:r>
      <w:r>
        <w:t>inform instructional design, learning assessment, and educational policy. Through a synthesis of</w:t>
      </w:r>
      <w:r w:rsidR="00675B87">
        <w:t xml:space="preserve"> </w:t>
      </w:r>
      <w:r>
        <w:t>research published between 2019 and 2025, the review identifies emerging trends in learner</w:t>
      </w:r>
      <w:r w:rsidR="00675B87">
        <w:t xml:space="preserve"> </w:t>
      </w:r>
      <w:r>
        <w:t xml:space="preserve">autonomy, digital learning environments, </w:t>
      </w:r>
      <w:r w:rsidR="00267703">
        <w:t>socio-emotional</w:t>
      </w:r>
      <w:r>
        <w:t xml:space="preserve"> learning, inclusivity, and culturally</w:t>
      </w:r>
      <w:r w:rsidR="00675B87">
        <w:t xml:space="preserve"> </w:t>
      </w:r>
      <w:r>
        <w:t>responsive pedagogy. These trends highlight the growing recognition that effective education must</w:t>
      </w:r>
      <w:r w:rsidR="00675B87">
        <w:t xml:space="preserve"> </w:t>
      </w:r>
      <w:r>
        <w:t xml:space="preserve">balance measurable outcomes with students’ psychological </w:t>
      </w:r>
      <w:r w:rsidR="00267703">
        <w:t>well-being</w:t>
      </w:r>
      <w:r>
        <w:t>, agency, and sense of</w:t>
      </w:r>
      <w:r w:rsidR="00675B87">
        <w:t xml:space="preserve"> </w:t>
      </w:r>
      <w:r>
        <w:t>belonging. Furthermore, the paper discusses the interplay between motivation, equity, and cognitive</w:t>
      </w:r>
      <w:r w:rsidR="00675B87">
        <w:t xml:space="preserve"> </w:t>
      </w:r>
      <w:r>
        <w:t>development in diverse educational contexts, emphasizing that global transitions toward hybrid and ost</w:t>
      </w:r>
      <w:r>
        <w:noBreakHyphen/>
        <w:t>pandemic learning require adaptive psychological models. The analysis underscores the</w:t>
      </w:r>
      <w:r w:rsidR="00675B87">
        <w:t xml:space="preserve"> </w:t>
      </w:r>
      <w:r>
        <w:t xml:space="preserve">continuing relevance of classical theories while demonstrating the necessity of </w:t>
      </w:r>
      <w:r w:rsidR="00267703">
        <w:t>human-centered</w:t>
      </w:r>
      <w:r>
        <w:t xml:space="preserve"> and</w:t>
      </w:r>
      <w:r w:rsidR="00675B87">
        <w:t xml:space="preserve"> </w:t>
      </w:r>
      <w:r w:rsidR="00267703">
        <w:t>evidence-based</w:t>
      </w:r>
      <w:r>
        <w:t xml:space="preserve"> pedagogical reforms aligned with the principles of equity, empathy, and resilience.</w:t>
      </w:r>
      <w:r w:rsidR="00675B87">
        <w:t xml:space="preserve"> </w:t>
      </w:r>
      <w:r>
        <w:t>The review concludes by proposing an integrated psychological framework to guide curriculum</w:t>
      </w:r>
      <w:r w:rsidR="00675B87">
        <w:t xml:space="preserve"> </w:t>
      </w:r>
      <w:r>
        <w:t>design, teacher education, and policymaking in pursuit of sustainable and inclusive educational</w:t>
      </w:r>
      <w:r w:rsidR="00675B87">
        <w:t xml:space="preserve"> </w:t>
      </w:r>
      <w:r>
        <w:t>development.</w:t>
      </w:r>
    </w:p>
    <w:p w14:paraId="2F9E1C40" w14:textId="77777777" w:rsidR="00273820" w:rsidRPr="00D14553" w:rsidRDefault="00273820" w:rsidP="00273820">
      <w:pPr>
        <w:bidi/>
        <w:jc w:val="center"/>
        <w:rPr>
          <w:rFonts w:cs="Nazanin"/>
          <w:b/>
          <w:bCs/>
          <w:sz w:val="28"/>
          <w:szCs w:val="32"/>
          <w:rtl/>
          <w:lang w:bidi="fa-IR"/>
        </w:rPr>
      </w:pPr>
    </w:p>
    <w:p w14:paraId="5FAE84D0" w14:textId="5736BC9B" w:rsidR="00D14553" w:rsidRPr="00D14553" w:rsidRDefault="00D26024" w:rsidP="00D26024">
      <w:pPr>
        <w:pStyle w:val="Heading2"/>
        <w:ind w:left="567" w:right="567"/>
        <w:jc w:val="right"/>
        <w:rPr>
          <w:rFonts w:cs="Nazanin"/>
          <w:b w:val="0"/>
          <w:bCs w:val="0"/>
          <w:sz w:val="28"/>
          <w:szCs w:val="32"/>
          <w:rtl/>
          <w:lang w:bidi="fa-IR"/>
        </w:rPr>
      </w:pPr>
      <w:r w:rsidRPr="00C54801">
        <w:rPr>
          <w:rFonts w:cs="Nazanin"/>
          <w:sz w:val="20"/>
          <w:szCs w:val="20"/>
        </w:rPr>
        <w:t>Keywords</w:t>
      </w:r>
      <w:r w:rsidRPr="00D26024">
        <w:rPr>
          <w:rFonts w:cs="Traditional Arabic"/>
          <w:b w:val="0"/>
          <w:bCs w:val="0"/>
          <w:sz w:val="20"/>
          <w:szCs w:val="20"/>
        </w:rPr>
        <w:t xml:space="preserve">: </w:t>
      </w:r>
      <w:r w:rsidR="001019E7" w:rsidRPr="001019E7">
        <w:rPr>
          <w:rFonts w:asciiTheme="majorBidi" w:eastAsia="Vazir" w:hAnsiTheme="majorBidi" w:cstheme="majorBidi"/>
          <w:b w:val="0"/>
          <w:color w:val="000000"/>
          <w:sz w:val="20"/>
          <w:szCs w:val="20"/>
        </w:rPr>
        <w:t>educational psychology, motivation, learning theories, pedagogy, assessment</w:t>
      </w:r>
      <w:r w:rsidR="001019E7" w:rsidRPr="001019E7">
        <w:rPr>
          <w:rFonts w:asciiTheme="majorBidi" w:eastAsia="Vazir" w:hAnsiTheme="majorBidi" w:cstheme="majorBidi"/>
          <w:b w:val="0"/>
          <w:color w:val="000000"/>
          <w:sz w:val="20"/>
          <w:szCs w:val="20"/>
        </w:rPr>
        <w:t>.</w:t>
      </w:r>
    </w:p>
    <w:p w14:paraId="4529F6EE" w14:textId="77777777" w:rsidR="00D14553" w:rsidRPr="00D14553" w:rsidRDefault="00D14553" w:rsidP="00D14553">
      <w:pPr>
        <w:bidi/>
        <w:jc w:val="center"/>
        <w:rPr>
          <w:rFonts w:cs="Nazanin"/>
          <w:b/>
          <w:bCs/>
          <w:sz w:val="28"/>
          <w:szCs w:val="32"/>
          <w:rtl/>
          <w:lang w:bidi="fa-IR"/>
        </w:rPr>
      </w:pPr>
    </w:p>
    <w:p w14:paraId="75F2DA5B" w14:textId="77777777" w:rsidR="00D14553" w:rsidRDefault="00D14553" w:rsidP="00D14553">
      <w:pPr>
        <w:bidi/>
        <w:jc w:val="center"/>
        <w:rPr>
          <w:rFonts w:cs="Nazanin"/>
          <w:b/>
          <w:bCs/>
          <w:sz w:val="28"/>
          <w:szCs w:val="32"/>
          <w:lang w:bidi="fa-IR"/>
        </w:rPr>
      </w:pPr>
    </w:p>
    <w:p w14:paraId="00AFC35B" w14:textId="7D8F3F12" w:rsidR="00D26024" w:rsidRDefault="00D26024" w:rsidP="00D26024">
      <w:pPr>
        <w:bidi/>
        <w:jc w:val="center"/>
        <w:rPr>
          <w:rFonts w:cs="Nazanin"/>
          <w:b/>
          <w:bCs/>
          <w:sz w:val="28"/>
          <w:szCs w:val="32"/>
          <w:lang w:bidi="fa-IR"/>
        </w:rPr>
      </w:pPr>
    </w:p>
    <w:p w14:paraId="71E63BEB" w14:textId="722A2DF9" w:rsidR="00D26024" w:rsidRDefault="00D26024" w:rsidP="00D26024">
      <w:pPr>
        <w:bidi/>
        <w:jc w:val="center"/>
        <w:rPr>
          <w:rFonts w:cs="Nazanin"/>
          <w:b/>
          <w:bCs/>
          <w:sz w:val="28"/>
          <w:szCs w:val="32"/>
          <w:lang w:bidi="fa-IR"/>
        </w:rPr>
      </w:pPr>
    </w:p>
    <w:p w14:paraId="2895999D" w14:textId="050EC217" w:rsidR="00D26024" w:rsidRDefault="00D26024" w:rsidP="00D26024">
      <w:pPr>
        <w:bidi/>
        <w:jc w:val="center"/>
        <w:rPr>
          <w:rFonts w:cs="Nazanin"/>
          <w:b/>
          <w:bCs/>
          <w:sz w:val="28"/>
          <w:szCs w:val="32"/>
          <w:lang w:bidi="fa-IR"/>
        </w:rPr>
      </w:pPr>
    </w:p>
    <w:p w14:paraId="0E32E8FD" w14:textId="76B39F8C" w:rsidR="00D26024" w:rsidRDefault="00D26024" w:rsidP="00D26024">
      <w:pPr>
        <w:bidi/>
        <w:jc w:val="center"/>
        <w:rPr>
          <w:rFonts w:cs="Nazanin"/>
          <w:b/>
          <w:bCs/>
          <w:sz w:val="28"/>
          <w:szCs w:val="32"/>
          <w:rtl/>
          <w:lang w:bidi="fa-IR"/>
        </w:rPr>
      </w:pPr>
    </w:p>
    <w:p w14:paraId="5220FA4A" w14:textId="4F529FB2" w:rsidR="0076212E" w:rsidRPr="00D14553" w:rsidRDefault="0076212E" w:rsidP="0076212E">
      <w:pPr>
        <w:bidi/>
        <w:jc w:val="center"/>
        <w:rPr>
          <w:rFonts w:cs="Nazanin"/>
          <w:b/>
          <w:bCs/>
          <w:sz w:val="28"/>
          <w:szCs w:val="32"/>
          <w:rtl/>
          <w:lang w:bidi="fa-IR"/>
        </w:rPr>
      </w:pPr>
    </w:p>
    <w:p w14:paraId="562ED48E" w14:textId="1D179199" w:rsidR="00D14553" w:rsidRDefault="00D14553" w:rsidP="00D14553">
      <w:pPr>
        <w:bidi/>
        <w:jc w:val="center"/>
        <w:rPr>
          <w:rFonts w:cs="Nazanin"/>
          <w:b/>
          <w:bCs/>
          <w:sz w:val="28"/>
          <w:szCs w:val="32"/>
          <w:lang w:bidi="fa-IR"/>
        </w:rPr>
      </w:pPr>
    </w:p>
    <w:p w14:paraId="5D9D2619" w14:textId="77777777" w:rsidR="000B200C" w:rsidRDefault="000B200C" w:rsidP="000B200C">
      <w:pPr>
        <w:bidi/>
        <w:jc w:val="center"/>
        <w:rPr>
          <w:rFonts w:cs="Nazanin"/>
          <w:b/>
          <w:bCs/>
          <w:sz w:val="28"/>
          <w:szCs w:val="32"/>
          <w:lang w:bidi="fa-IR"/>
        </w:rPr>
      </w:pPr>
    </w:p>
    <w:p w14:paraId="46B64AEC" w14:textId="77777777" w:rsidR="00675B87" w:rsidRDefault="00675B87" w:rsidP="00675B87">
      <w:pPr>
        <w:bidi/>
        <w:jc w:val="center"/>
        <w:rPr>
          <w:rFonts w:cs="Nazanin"/>
          <w:b/>
          <w:bCs/>
          <w:sz w:val="28"/>
          <w:szCs w:val="32"/>
          <w:lang w:bidi="fa-IR"/>
        </w:rPr>
      </w:pPr>
    </w:p>
    <w:p w14:paraId="40964B95" w14:textId="77777777" w:rsidR="00675B87" w:rsidRDefault="00675B87" w:rsidP="00675B87">
      <w:pPr>
        <w:bidi/>
        <w:jc w:val="center"/>
        <w:rPr>
          <w:rFonts w:cs="Nazanin"/>
          <w:b/>
          <w:bCs/>
          <w:sz w:val="28"/>
          <w:szCs w:val="32"/>
          <w:lang w:bidi="fa-IR"/>
        </w:rPr>
      </w:pPr>
    </w:p>
    <w:p w14:paraId="4F01A389" w14:textId="77777777" w:rsidR="00675B87" w:rsidRDefault="00675B87" w:rsidP="00675B87">
      <w:pPr>
        <w:bidi/>
        <w:jc w:val="center"/>
        <w:rPr>
          <w:rFonts w:cs="Nazanin"/>
          <w:b/>
          <w:bCs/>
          <w:sz w:val="28"/>
          <w:szCs w:val="32"/>
          <w:lang w:bidi="fa-IR"/>
        </w:rPr>
      </w:pPr>
    </w:p>
    <w:p w14:paraId="43EE99FE" w14:textId="77777777" w:rsidR="00675B87" w:rsidRDefault="00675B87" w:rsidP="00675B87">
      <w:pPr>
        <w:bidi/>
        <w:jc w:val="center"/>
        <w:rPr>
          <w:rFonts w:cs="Nazanin"/>
          <w:b/>
          <w:bCs/>
          <w:sz w:val="28"/>
          <w:szCs w:val="32"/>
          <w:rtl/>
          <w:lang w:bidi="fa-IR"/>
        </w:rPr>
      </w:pPr>
    </w:p>
    <w:p w14:paraId="0A6A7CE1" w14:textId="77777777" w:rsidR="00846D82" w:rsidRDefault="00846D82" w:rsidP="00846D82">
      <w:pPr>
        <w:bidi/>
        <w:jc w:val="center"/>
        <w:rPr>
          <w:rFonts w:cs="Nazanin"/>
          <w:b/>
          <w:bCs/>
          <w:sz w:val="28"/>
          <w:szCs w:val="32"/>
          <w:rtl/>
          <w:lang w:bidi="fa-IR"/>
        </w:rPr>
      </w:pPr>
    </w:p>
    <w:p w14:paraId="2DB36DE3" w14:textId="77777777" w:rsidR="00846D82" w:rsidRDefault="00846D82" w:rsidP="00846D82">
      <w:pPr>
        <w:bidi/>
        <w:jc w:val="center"/>
        <w:rPr>
          <w:rFonts w:cs="Nazanin"/>
          <w:b/>
          <w:bCs/>
          <w:sz w:val="28"/>
          <w:szCs w:val="32"/>
          <w:rtl/>
          <w:lang w:bidi="fa-IR"/>
        </w:rPr>
      </w:pPr>
    </w:p>
    <w:p w14:paraId="1A8CB29C" w14:textId="77777777" w:rsidR="00846D82" w:rsidRDefault="00846D82" w:rsidP="00846D82">
      <w:pPr>
        <w:bidi/>
        <w:jc w:val="center"/>
        <w:rPr>
          <w:rFonts w:cs="Nazanin"/>
          <w:b/>
          <w:bCs/>
          <w:sz w:val="28"/>
          <w:szCs w:val="32"/>
          <w:rtl/>
          <w:lang w:bidi="fa-IR"/>
        </w:rPr>
      </w:pPr>
    </w:p>
    <w:p w14:paraId="579D2E43" w14:textId="77777777" w:rsidR="00846D82" w:rsidRDefault="00846D82" w:rsidP="00846D82">
      <w:pPr>
        <w:bidi/>
        <w:jc w:val="center"/>
        <w:rPr>
          <w:rFonts w:cs="Nazanin"/>
          <w:b/>
          <w:bCs/>
          <w:sz w:val="28"/>
          <w:szCs w:val="32"/>
          <w:rtl/>
          <w:lang w:bidi="fa-IR"/>
        </w:rPr>
      </w:pPr>
    </w:p>
    <w:p w14:paraId="7F650AD6" w14:textId="77777777" w:rsidR="00846D82" w:rsidRDefault="00846D82" w:rsidP="00846D82">
      <w:pPr>
        <w:bidi/>
        <w:jc w:val="center"/>
        <w:rPr>
          <w:rFonts w:cs="Nazanin"/>
          <w:b/>
          <w:bCs/>
          <w:sz w:val="28"/>
          <w:szCs w:val="32"/>
          <w:lang w:bidi="fa-IR"/>
        </w:rPr>
      </w:pPr>
    </w:p>
    <w:p w14:paraId="70CB771A" w14:textId="270D721F" w:rsidR="000B200C" w:rsidRDefault="000B200C" w:rsidP="000B200C">
      <w:pPr>
        <w:bidi/>
        <w:jc w:val="center"/>
        <w:rPr>
          <w:rFonts w:cs="Nazanin"/>
          <w:b/>
          <w:bCs/>
          <w:sz w:val="28"/>
          <w:szCs w:val="32"/>
          <w:lang w:bidi="fa-IR"/>
        </w:rPr>
      </w:pPr>
    </w:p>
    <w:bookmarkEnd w:id="4"/>
    <w:bookmarkEnd w:id="5"/>
    <w:p w14:paraId="30C903CF" w14:textId="77777777" w:rsidR="00992AEA" w:rsidRDefault="00992AEA" w:rsidP="00992AEA">
      <w:pPr>
        <w:spacing w:line="230" w:lineRule="auto"/>
        <w:jc w:val="both"/>
      </w:pPr>
    </w:p>
    <w:p w14:paraId="2AA3ECC0" w14:textId="77777777" w:rsidR="00992AEA" w:rsidRDefault="00992AEA" w:rsidP="00992AEA">
      <w:pPr>
        <w:spacing w:line="230" w:lineRule="auto"/>
        <w:jc w:val="both"/>
      </w:pPr>
    </w:p>
    <w:p w14:paraId="7AEA48B0" w14:textId="77777777" w:rsidR="00691968" w:rsidRPr="00A826A1" w:rsidRDefault="00691968" w:rsidP="00691968">
      <w:pPr>
        <w:autoSpaceDE w:val="0"/>
        <w:autoSpaceDN w:val="0"/>
        <w:rPr>
          <w:rFonts w:asciiTheme="majorBidi" w:hAnsiTheme="majorBidi" w:cstheme="majorBidi"/>
          <w:sz w:val="22"/>
          <w:szCs w:val="22"/>
        </w:rPr>
      </w:pPr>
      <w:r w:rsidRPr="00A826A1">
        <w:rPr>
          <w:rFonts w:asciiTheme="majorBidi" w:eastAsia="Vazir" w:hAnsiTheme="majorBidi" w:cstheme="majorBidi"/>
          <w:b/>
          <w:color w:val="000000"/>
          <w:sz w:val="22"/>
          <w:szCs w:val="22"/>
        </w:rPr>
        <w:t>1. Introduction</w:t>
      </w:r>
    </w:p>
    <w:p w14:paraId="08F37B1B" w14:textId="77777777" w:rsidR="00691968" w:rsidRPr="00A826A1" w:rsidRDefault="00691968" w:rsidP="00691968">
      <w:pPr>
        <w:autoSpaceDE w:val="0"/>
        <w:autoSpaceDN w:val="0"/>
        <w:jc w:val="both"/>
        <w:rPr>
          <w:rFonts w:asciiTheme="majorBidi" w:hAnsiTheme="majorBidi" w:cstheme="majorBidi"/>
        </w:rPr>
      </w:pPr>
      <w:r w:rsidRPr="00A826A1">
        <w:rPr>
          <w:rFonts w:asciiTheme="majorBidi" w:eastAsia="Vazir" w:hAnsiTheme="majorBidi" w:cstheme="majorBidi"/>
          <w:color w:val="000000"/>
        </w:rPr>
        <w:t>Educational psychology serves as the bridge between the science of human behavior and the art of teaching [1]. It provides the empirical basis for understanding how learners acquire knowledge, develop skills, regulate their emotions, and interact within social learning environments. Within modern education systems, understanding the psychological principles that guide learning processes is essential for developing inclusive, adaptive, and equitable environments [2]. Traditional educational models often treated the learner as a passive recipient of information; however, contemporary research, rooted deeply in cognitive science and motivational theory, demands a shift toward active, self-regulated, and context-aware instruction [20].</w:t>
      </w:r>
    </w:p>
    <w:p w14:paraId="7FC67553" w14:textId="77777777" w:rsidR="00691968" w:rsidRDefault="00691968" w:rsidP="00691968">
      <w:pPr>
        <w:autoSpaceDE w:val="0"/>
        <w:autoSpaceDN w:val="0"/>
        <w:jc w:val="both"/>
        <w:rPr>
          <w:rFonts w:asciiTheme="majorBidi" w:eastAsia="Vazir" w:hAnsiTheme="majorBidi" w:cstheme="majorBidi"/>
          <w:color w:val="000000"/>
        </w:rPr>
      </w:pPr>
      <w:r w:rsidRPr="00A826A1">
        <w:rPr>
          <w:rFonts w:asciiTheme="majorBidi" w:eastAsia="Vazir" w:hAnsiTheme="majorBidi" w:cstheme="majorBidi"/>
          <w:color w:val="000000"/>
        </w:rPr>
        <w:t>The objective of this paper is to review critical psychological foundations that inform these systems, identify their implications for policy and pedagogy, and propose a forward-looking synthesis for 21st-century education reform. This review moves sequentially from historical theoretical paradigms to their contemporary application in curriculum, assessment, and the crucial social-emotional sphere, concluding with a synthesis that emphasizes the integration of diverse psychological findings.</w:t>
      </w:r>
    </w:p>
    <w:p w14:paraId="3CBC78B2" w14:textId="77777777" w:rsidR="00D12965" w:rsidRPr="00A826A1" w:rsidRDefault="00D12965" w:rsidP="00691968">
      <w:pPr>
        <w:autoSpaceDE w:val="0"/>
        <w:autoSpaceDN w:val="0"/>
        <w:jc w:val="both"/>
        <w:rPr>
          <w:rFonts w:asciiTheme="majorBidi" w:hAnsiTheme="majorBidi" w:cstheme="majorBidi"/>
        </w:rPr>
      </w:pPr>
    </w:p>
    <w:p w14:paraId="7B8FEC08" w14:textId="77777777" w:rsidR="00691968" w:rsidRPr="00A826A1" w:rsidRDefault="00691968" w:rsidP="00691968">
      <w:pPr>
        <w:autoSpaceDE w:val="0"/>
        <w:autoSpaceDN w:val="0"/>
        <w:rPr>
          <w:rFonts w:asciiTheme="majorBidi" w:hAnsiTheme="majorBidi" w:cstheme="majorBidi"/>
          <w:sz w:val="22"/>
          <w:szCs w:val="22"/>
        </w:rPr>
      </w:pPr>
      <w:r w:rsidRPr="00A826A1">
        <w:rPr>
          <w:rFonts w:asciiTheme="majorBidi" w:eastAsia="Vazir" w:hAnsiTheme="majorBidi" w:cstheme="majorBidi"/>
          <w:b/>
          <w:color w:val="000000"/>
          <w:sz w:val="22"/>
          <w:szCs w:val="22"/>
        </w:rPr>
        <w:t>2. Theoretical Frameworks in Educational Psychology</w:t>
      </w:r>
    </w:p>
    <w:p w14:paraId="5B5EEAE9" w14:textId="77777777" w:rsidR="00691968" w:rsidRDefault="00691968" w:rsidP="00691968">
      <w:pPr>
        <w:autoSpaceDE w:val="0"/>
        <w:autoSpaceDN w:val="0"/>
        <w:jc w:val="both"/>
        <w:rPr>
          <w:rFonts w:asciiTheme="majorBidi" w:eastAsia="Vazir" w:hAnsiTheme="majorBidi" w:cstheme="majorBidi"/>
          <w:color w:val="000000"/>
        </w:rPr>
      </w:pPr>
      <w:r w:rsidRPr="00A826A1">
        <w:rPr>
          <w:rFonts w:asciiTheme="majorBidi" w:eastAsia="Vazir" w:hAnsiTheme="majorBidi" w:cstheme="majorBidi"/>
          <w:color w:val="000000"/>
        </w:rPr>
        <w:t>The evolution of educational thought can be mapped through the progression and critique of major psychological paradigms. Each framework offers a distinct lens through which to view the mechanisms and goals of formal learning.</w:t>
      </w:r>
    </w:p>
    <w:p w14:paraId="329050EF" w14:textId="77777777" w:rsidR="00D12965" w:rsidRPr="00A826A1" w:rsidRDefault="00D12965" w:rsidP="00691968">
      <w:pPr>
        <w:autoSpaceDE w:val="0"/>
        <w:autoSpaceDN w:val="0"/>
        <w:jc w:val="both"/>
        <w:rPr>
          <w:rFonts w:asciiTheme="majorBidi" w:hAnsiTheme="majorBidi" w:cstheme="majorBidi"/>
        </w:rPr>
      </w:pPr>
    </w:p>
    <w:p w14:paraId="6366DE29" w14:textId="77777777" w:rsidR="00691968" w:rsidRPr="00A826A1" w:rsidRDefault="00691968" w:rsidP="00691968">
      <w:pPr>
        <w:autoSpaceDE w:val="0"/>
        <w:autoSpaceDN w:val="0"/>
        <w:rPr>
          <w:rFonts w:asciiTheme="majorBidi" w:hAnsiTheme="majorBidi" w:cstheme="majorBidi"/>
        </w:rPr>
      </w:pPr>
      <w:r w:rsidRPr="00A826A1">
        <w:rPr>
          <w:rFonts w:asciiTheme="majorBidi" w:eastAsia="Vazir" w:hAnsiTheme="majorBidi" w:cstheme="majorBidi"/>
          <w:b/>
          <w:color w:val="000000"/>
        </w:rPr>
        <w:t>2.1 Behaviorist Foundations</w:t>
      </w:r>
    </w:p>
    <w:p w14:paraId="7C65ABD9" w14:textId="77777777" w:rsidR="00691968" w:rsidRDefault="00691968" w:rsidP="00691968">
      <w:pPr>
        <w:autoSpaceDE w:val="0"/>
        <w:autoSpaceDN w:val="0"/>
        <w:jc w:val="both"/>
        <w:rPr>
          <w:rFonts w:asciiTheme="majorBidi" w:eastAsia="Vazir" w:hAnsiTheme="majorBidi" w:cstheme="majorBidi"/>
          <w:color w:val="000000"/>
        </w:rPr>
      </w:pPr>
      <w:r w:rsidRPr="00A826A1">
        <w:rPr>
          <w:rFonts w:asciiTheme="majorBidi" w:eastAsia="Vazir" w:hAnsiTheme="majorBidi" w:cstheme="majorBidi"/>
          <w:color w:val="000000"/>
        </w:rPr>
        <w:t>Early educational systems were heavily influenced by behaviorist models, particularly those advanced by B.F. Skinner and John Watson [3]. Learning was conceptualized as the accumulation of conditioned responses, where reinforcement shaped desirable behaviors [4]. Behaviorism focuses externally, emphasizing observable responses rather than internal mental states.</w:t>
      </w:r>
    </w:p>
    <w:p w14:paraId="215DF53A" w14:textId="77777777" w:rsidR="00D12965" w:rsidRPr="00A826A1" w:rsidRDefault="00D12965" w:rsidP="00691968">
      <w:pPr>
        <w:autoSpaceDE w:val="0"/>
        <w:autoSpaceDN w:val="0"/>
        <w:jc w:val="both"/>
        <w:rPr>
          <w:rFonts w:asciiTheme="majorBidi" w:hAnsiTheme="majorBidi" w:cstheme="majorBidi"/>
        </w:rPr>
      </w:pPr>
    </w:p>
    <w:p w14:paraId="637EA5AE" w14:textId="77777777" w:rsidR="00691968" w:rsidRPr="00A826A1" w:rsidRDefault="00691968" w:rsidP="00691968">
      <w:pPr>
        <w:autoSpaceDE w:val="0"/>
        <w:autoSpaceDN w:val="0"/>
        <w:rPr>
          <w:rFonts w:asciiTheme="majorBidi" w:hAnsiTheme="majorBidi" w:cstheme="majorBidi"/>
        </w:rPr>
      </w:pPr>
      <w:r w:rsidRPr="00A826A1">
        <w:rPr>
          <w:rFonts w:asciiTheme="majorBidi" w:eastAsia="Vazir" w:hAnsiTheme="majorBidi" w:cstheme="majorBidi"/>
          <w:b/>
          <w:color w:val="000000"/>
        </w:rPr>
        <w:t>2.1.1 Classical and Operant Conditioning in Practice</w:t>
      </w:r>
    </w:p>
    <w:p w14:paraId="0CA6FC2D" w14:textId="77777777" w:rsidR="00691968" w:rsidRPr="00A826A1" w:rsidRDefault="00691968" w:rsidP="00691968">
      <w:pPr>
        <w:autoSpaceDE w:val="0"/>
        <w:autoSpaceDN w:val="0"/>
        <w:jc w:val="both"/>
        <w:rPr>
          <w:rFonts w:asciiTheme="majorBidi" w:eastAsia="Vazir" w:hAnsiTheme="majorBidi" w:cstheme="majorBidi"/>
          <w:color w:val="000000"/>
        </w:rPr>
      </w:pPr>
      <w:r w:rsidRPr="00A826A1">
        <w:rPr>
          <w:rFonts w:asciiTheme="majorBidi" w:eastAsia="Vazir" w:hAnsiTheme="majorBidi" w:cstheme="majorBidi"/>
          <w:color w:val="000000"/>
        </w:rPr>
        <w:t>Classical conditioning, though less directly applied to complex curriculum learning, influences the emotional associations students form with school environments (e.g., associating the sound of a bell with the end of a preferred activity). Operant conditioning, however, remains a bedrock of classroom management and early skill acquisition. Skinner’s work introduced the concept of shaping and reinforcement schedules. The rate of reinforcement fundamentally dictates the maintenance of a behavior:</w:t>
      </w:r>
    </w:p>
    <w:p w14:paraId="7D24F667" w14:textId="77777777" w:rsidR="00691968" w:rsidRPr="00A826A1" w:rsidRDefault="00691968" w:rsidP="00691968">
      <w:pPr>
        <w:autoSpaceDE w:val="0"/>
        <w:autoSpaceDN w:val="0"/>
        <w:jc w:val="both"/>
        <w:rPr>
          <w:rFonts w:asciiTheme="majorBidi" w:eastAsia="Vazir" w:hAnsiTheme="majorBidi" w:cstheme="majorBidi"/>
          <w:color w:val="000000"/>
        </w:rPr>
      </w:pPr>
      <w:r w:rsidRPr="00A826A1">
        <w:rPr>
          <w:rFonts w:asciiTheme="majorBidi" w:eastAsia="Vazir" w:hAnsiTheme="majorBidi" w:cstheme="majorBidi"/>
          <w:color w:val="000000"/>
        </w:rPr>
        <w:t xml:space="preserve">* Continuous Reinforcement: Leads to rapid acquisition but quick extinction when reinforcement stops. </w:t>
      </w:r>
    </w:p>
    <w:p w14:paraId="0E0DC621" w14:textId="77777777" w:rsidR="00691968" w:rsidRPr="00A826A1" w:rsidRDefault="00691968" w:rsidP="00691968">
      <w:pPr>
        <w:autoSpaceDE w:val="0"/>
        <w:autoSpaceDN w:val="0"/>
        <w:jc w:val="both"/>
        <w:rPr>
          <w:rFonts w:asciiTheme="majorBidi" w:hAnsiTheme="majorBidi" w:cstheme="majorBidi"/>
        </w:rPr>
      </w:pPr>
      <w:r w:rsidRPr="00A826A1">
        <w:rPr>
          <w:rFonts w:asciiTheme="majorBidi" w:eastAsia="Vazir" w:hAnsiTheme="majorBidi" w:cstheme="majorBidi"/>
          <w:color w:val="000000"/>
        </w:rPr>
        <w:t>* Partial Reinforcement (e.g., variable-ratio schedules): Leads to slower acquisition but greater resistance to extinction, often used to maintain practiced skills like homework completion.</w:t>
      </w:r>
    </w:p>
    <w:p w14:paraId="4176AB71" w14:textId="77777777" w:rsidR="00691968" w:rsidRDefault="00691968" w:rsidP="00691968">
      <w:pPr>
        <w:autoSpaceDE w:val="0"/>
        <w:autoSpaceDN w:val="0"/>
        <w:jc w:val="both"/>
        <w:rPr>
          <w:rFonts w:asciiTheme="majorBidi" w:eastAsia="Vazir" w:hAnsiTheme="majorBidi" w:cstheme="majorBidi"/>
          <w:color w:val="000000"/>
        </w:rPr>
      </w:pPr>
      <w:r w:rsidRPr="00A826A1">
        <w:rPr>
          <w:rFonts w:asciiTheme="majorBidi" w:eastAsia="Vazir" w:hAnsiTheme="majorBidi" w:cstheme="majorBidi"/>
          <w:color w:val="000000"/>
        </w:rPr>
        <w:t>The formalization of learning through programmed instruction and mastery learning techniques, which rely on successive approximation toward a learning objective, directly stems from behaviorist tenets [4]. Despite its mechanistic approach, behaviorism contributed significantly to classroom management and curriculum planning by providing clear, measurable objectives and contingent reward systems.</w:t>
      </w:r>
    </w:p>
    <w:p w14:paraId="7EBB0B9C" w14:textId="77777777" w:rsidR="00D12965" w:rsidRPr="00A826A1" w:rsidRDefault="00D12965" w:rsidP="00691968">
      <w:pPr>
        <w:autoSpaceDE w:val="0"/>
        <w:autoSpaceDN w:val="0"/>
        <w:jc w:val="both"/>
        <w:rPr>
          <w:rFonts w:asciiTheme="majorBidi" w:hAnsiTheme="majorBidi" w:cstheme="majorBidi"/>
        </w:rPr>
      </w:pPr>
    </w:p>
    <w:p w14:paraId="009BE486" w14:textId="77777777" w:rsidR="00691968" w:rsidRPr="00A826A1" w:rsidRDefault="00691968" w:rsidP="00691968">
      <w:pPr>
        <w:autoSpaceDE w:val="0"/>
        <w:autoSpaceDN w:val="0"/>
        <w:rPr>
          <w:rFonts w:asciiTheme="majorBidi" w:hAnsiTheme="majorBidi" w:cstheme="majorBidi"/>
        </w:rPr>
      </w:pPr>
      <w:r w:rsidRPr="00A826A1">
        <w:rPr>
          <w:rFonts w:asciiTheme="majorBidi" w:eastAsia="Vazir" w:hAnsiTheme="majorBidi" w:cstheme="majorBidi"/>
          <w:b/>
          <w:color w:val="000000"/>
        </w:rPr>
        <w:t>2.2 Cognitive and Constructivist Perspectives</w:t>
      </w:r>
    </w:p>
    <w:p w14:paraId="779A8D51" w14:textId="77777777" w:rsidR="00691968" w:rsidRDefault="00691968" w:rsidP="00691968">
      <w:pPr>
        <w:autoSpaceDE w:val="0"/>
        <w:autoSpaceDN w:val="0"/>
        <w:jc w:val="both"/>
        <w:rPr>
          <w:rFonts w:asciiTheme="majorBidi" w:eastAsia="Vazir" w:hAnsiTheme="majorBidi" w:cstheme="majorBidi"/>
          <w:color w:val="000000"/>
        </w:rPr>
      </w:pPr>
      <w:r w:rsidRPr="00A826A1">
        <w:rPr>
          <w:rFonts w:asciiTheme="majorBidi" w:eastAsia="Vazir" w:hAnsiTheme="majorBidi" w:cstheme="majorBidi"/>
          <w:color w:val="000000"/>
        </w:rPr>
        <w:t>The Cognitive Revolution shifted focus inward, viewing the mind as an active processor of information rather than a reactive mechanism. This perspective laid the groundwork for understanding complex skills like problem-solving and metacognition [6].</w:t>
      </w:r>
    </w:p>
    <w:p w14:paraId="27E285AE" w14:textId="77777777" w:rsidR="00D12965" w:rsidRPr="00A826A1" w:rsidRDefault="00D12965" w:rsidP="00691968">
      <w:pPr>
        <w:autoSpaceDE w:val="0"/>
        <w:autoSpaceDN w:val="0"/>
        <w:jc w:val="both"/>
        <w:rPr>
          <w:rFonts w:asciiTheme="majorBidi" w:hAnsiTheme="majorBidi" w:cstheme="majorBidi"/>
        </w:rPr>
      </w:pPr>
    </w:p>
    <w:p w14:paraId="7F2C55CF" w14:textId="77777777" w:rsidR="00691968" w:rsidRPr="00A826A1" w:rsidRDefault="00691968" w:rsidP="00691968">
      <w:pPr>
        <w:autoSpaceDE w:val="0"/>
        <w:autoSpaceDN w:val="0"/>
        <w:rPr>
          <w:rFonts w:asciiTheme="majorBidi" w:hAnsiTheme="majorBidi" w:cstheme="majorBidi"/>
        </w:rPr>
      </w:pPr>
      <w:r w:rsidRPr="00A826A1">
        <w:rPr>
          <w:rFonts w:asciiTheme="majorBidi" w:eastAsia="Vazir" w:hAnsiTheme="majorBidi" w:cstheme="majorBidi"/>
          <w:b/>
          <w:color w:val="000000"/>
        </w:rPr>
        <w:t>2.2.1 Information Processing Theory</w:t>
      </w:r>
    </w:p>
    <w:p w14:paraId="62E4D577" w14:textId="77777777" w:rsidR="00691968" w:rsidRPr="00A826A1" w:rsidRDefault="00691968" w:rsidP="00691968">
      <w:pPr>
        <w:autoSpaceDE w:val="0"/>
        <w:autoSpaceDN w:val="0"/>
        <w:jc w:val="both"/>
        <w:rPr>
          <w:rFonts w:asciiTheme="majorBidi" w:eastAsia="Vazir" w:hAnsiTheme="majorBidi" w:cstheme="majorBidi"/>
          <w:color w:val="000000"/>
        </w:rPr>
      </w:pPr>
      <w:r w:rsidRPr="00A826A1">
        <w:rPr>
          <w:rFonts w:asciiTheme="majorBidi" w:eastAsia="Vazir" w:hAnsiTheme="majorBidi" w:cstheme="majorBidi"/>
          <w:color w:val="000000"/>
        </w:rPr>
        <w:t xml:space="preserve">Cognitive psychology approaches learning as analogous to computer processing, involving stages of memory encoding, storage, and retrieval. Key concepts include: </w:t>
      </w:r>
    </w:p>
    <w:p w14:paraId="7FDE2C64" w14:textId="77777777" w:rsidR="00691968" w:rsidRPr="00A826A1" w:rsidRDefault="00691968" w:rsidP="00691968">
      <w:pPr>
        <w:autoSpaceDE w:val="0"/>
        <w:autoSpaceDN w:val="0"/>
        <w:jc w:val="both"/>
        <w:rPr>
          <w:rFonts w:asciiTheme="majorBidi" w:eastAsia="Vazir" w:hAnsiTheme="majorBidi" w:cstheme="majorBidi"/>
          <w:color w:val="000000"/>
        </w:rPr>
      </w:pPr>
      <w:r w:rsidRPr="00A826A1">
        <w:rPr>
          <w:rFonts w:asciiTheme="majorBidi" w:eastAsia="Vazir" w:hAnsiTheme="majorBidi" w:cstheme="majorBidi"/>
          <w:color w:val="000000"/>
        </w:rPr>
        <w:t xml:space="preserve">1. Sensory Register: Brief initial holding of sensory input. </w:t>
      </w:r>
    </w:p>
    <w:p w14:paraId="0959E354" w14:textId="6CAD65BB" w:rsidR="00691968" w:rsidRPr="00A826A1" w:rsidRDefault="00691968" w:rsidP="00691968">
      <w:pPr>
        <w:autoSpaceDE w:val="0"/>
        <w:autoSpaceDN w:val="0"/>
        <w:jc w:val="both"/>
        <w:rPr>
          <w:rFonts w:asciiTheme="majorBidi" w:eastAsia="Vazir" w:hAnsiTheme="majorBidi" w:cstheme="majorBidi"/>
          <w:color w:val="000000"/>
        </w:rPr>
      </w:pPr>
      <w:r w:rsidRPr="00A826A1">
        <w:rPr>
          <w:rFonts w:asciiTheme="majorBidi" w:eastAsia="Vazir" w:hAnsiTheme="majorBidi" w:cstheme="majorBidi"/>
          <w:color w:val="000000"/>
        </w:rPr>
        <w:t>2. Working Memory (Short-Term Memory): Limited capacity (often cited as 7 pm 2 chunks of information, though modern research suggests this capacity is highly dependent on prior knowledge)</w:t>
      </w:r>
      <w:r w:rsidR="00267703">
        <w:rPr>
          <w:rFonts w:asciiTheme="majorBidi" w:eastAsia="Vazir" w:hAnsiTheme="majorBidi" w:cstheme="majorBidi"/>
          <w:color w:val="000000"/>
        </w:rPr>
        <w:t>,</w:t>
      </w:r>
      <w:r w:rsidRPr="00A826A1">
        <w:rPr>
          <w:rFonts w:asciiTheme="majorBidi" w:eastAsia="Vazir" w:hAnsiTheme="majorBidi" w:cstheme="majorBidi"/>
          <w:color w:val="000000"/>
        </w:rPr>
        <w:t xml:space="preserve"> where active processing occurs. Cognitive Load Theory (CLT) is a direct derivative, arguing that instruction must manage the demands placed on this limited resource [6]. The goal is to minimize extraneous load while maximizing germane load (the processing dedicated to schema construction). </w:t>
      </w:r>
    </w:p>
    <w:p w14:paraId="5872CFAD" w14:textId="77777777" w:rsidR="00691968" w:rsidRDefault="00691968" w:rsidP="00691968">
      <w:pPr>
        <w:autoSpaceDE w:val="0"/>
        <w:autoSpaceDN w:val="0"/>
        <w:jc w:val="both"/>
        <w:rPr>
          <w:rFonts w:asciiTheme="majorBidi" w:eastAsia="Vazir" w:hAnsiTheme="majorBidi" w:cstheme="majorBidi"/>
          <w:color w:val="000000"/>
        </w:rPr>
      </w:pPr>
      <w:r w:rsidRPr="00A826A1">
        <w:rPr>
          <w:rFonts w:asciiTheme="majorBidi" w:eastAsia="Vazir" w:hAnsiTheme="majorBidi" w:cstheme="majorBidi"/>
          <w:color w:val="000000"/>
        </w:rPr>
        <w:t>3. Long-Term Memory: Potentially limitless storage of schemas, concepts, and procedures.</w:t>
      </w:r>
    </w:p>
    <w:p w14:paraId="03DD1365" w14:textId="77777777" w:rsidR="00D12965" w:rsidRPr="00A826A1" w:rsidRDefault="00D12965" w:rsidP="00691968">
      <w:pPr>
        <w:autoSpaceDE w:val="0"/>
        <w:autoSpaceDN w:val="0"/>
        <w:jc w:val="both"/>
        <w:rPr>
          <w:rFonts w:asciiTheme="majorBidi" w:eastAsia="Vazir" w:hAnsiTheme="majorBidi" w:cstheme="majorBidi"/>
          <w:color w:val="000000"/>
        </w:rPr>
      </w:pPr>
    </w:p>
    <w:p w14:paraId="47960899" w14:textId="77777777" w:rsidR="00691968" w:rsidRPr="00A826A1" w:rsidRDefault="00691968" w:rsidP="00691968">
      <w:pPr>
        <w:autoSpaceDE w:val="0"/>
        <w:autoSpaceDN w:val="0"/>
        <w:rPr>
          <w:rFonts w:asciiTheme="majorBidi" w:hAnsiTheme="majorBidi" w:cstheme="majorBidi"/>
        </w:rPr>
      </w:pPr>
      <w:r w:rsidRPr="00A826A1">
        <w:rPr>
          <w:rFonts w:asciiTheme="majorBidi" w:eastAsia="Vazir" w:hAnsiTheme="majorBidi" w:cstheme="majorBidi"/>
          <w:b/>
          <w:color w:val="000000"/>
        </w:rPr>
        <w:t>2.2.2 Constructivism: Building Knowledge</w:t>
      </w:r>
    </w:p>
    <w:p w14:paraId="61D4ACDF" w14:textId="77777777" w:rsidR="00691968" w:rsidRDefault="00691968" w:rsidP="00691968">
      <w:pPr>
        <w:autoSpaceDE w:val="0"/>
        <w:autoSpaceDN w:val="0"/>
        <w:rPr>
          <w:rFonts w:asciiTheme="majorBidi" w:eastAsia="Vazir" w:hAnsiTheme="majorBidi" w:cstheme="majorBidi"/>
          <w:color w:val="000000"/>
        </w:rPr>
      </w:pPr>
      <w:r w:rsidRPr="00A826A1">
        <w:rPr>
          <w:rFonts w:asciiTheme="majorBidi" w:eastAsia="Vazir" w:hAnsiTheme="majorBidi" w:cstheme="majorBidi"/>
          <w:color w:val="000000"/>
        </w:rPr>
        <w:t xml:space="preserve">Piagetian and Vygotskian perspectives emphasized the internal construction of knowledge and the social contexts of learning [5, 7]. </w:t>
      </w:r>
    </w:p>
    <w:p w14:paraId="42B35752" w14:textId="77777777" w:rsidR="00436057" w:rsidRDefault="00436057" w:rsidP="00691968">
      <w:pPr>
        <w:autoSpaceDE w:val="0"/>
        <w:autoSpaceDN w:val="0"/>
        <w:rPr>
          <w:rFonts w:asciiTheme="majorBidi" w:eastAsia="Vazir" w:hAnsiTheme="majorBidi" w:cstheme="majorBidi"/>
          <w:color w:val="000000"/>
        </w:rPr>
      </w:pPr>
    </w:p>
    <w:p w14:paraId="5AEDD5E7" w14:textId="77777777" w:rsidR="00436057" w:rsidRDefault="00436057" w:rsidP="00691968">
      <w:pPr>
        <w:autoSpaceDE w:val="0"/>
        <w:autoSpaceDN w:val="0"/>
        <w:rPr>
          <w:rFonts w:asciiTheme="majorBidi" w:eastAsia="Vazir" w:hAnsiTheme="majorBidi" w:cstheme="majorBidi"/>
          <w:color w:val="000000"/>
        </w:rPr>
      </w:pPr>
    </w:p>
    <w:p w14:paraId="710EAE1B" w14:textId="77777777" w:rsidR="00436057" w:rsidRPr="00A826A1" w:rsidRDefault="00436057" w:rsidP="00691968">
      <w:pPr>
        <w:autoSpaceDE w:val="0"/>
        <w:autoSpaceDN w:val="0"/>
        <w:rPr>
          <w:rFonts w:asciiTheme="majorBidi" w:eastAsia="Vazir" w:hAnsiTheme="majorBidi" w:cstheme="majorBidi"/>
          <w:color w:val="000000"/>
        </w:rPr>
      </w:pPr>
    </w:p>
    <w:p w14:paraId="36F8D84E" w14:textId="77777777" w:rsidR="00691968" w:rsidRPr="00A826A1" w:rsidRDefault="00691968" w:rsidP="00691968">
      <w:pPr>
        <w:autoSpaceDE w:val="0"/>
        <w:autoSpaceDN w:val="0"/>
        <w:jc w:val="both"/>
        <w:rPr>
          <w:rFonts w:asciiTheme="majorBidi" w:eastAsia="Vazir" w:hAnsiTheme="majorBidi" w:cstheme="majorBidi"/>
          <w:color w:val="000000"/>
        </w:rPr>
      </w:pPr>
      <w:r w:rsidRPr="00A826A1">
        <w:rPr>
          <w:rFonts w:asciiTheme="majorBidi" w:eastAsia="Vazir" w:hAnsiTheme="majorBidi" w:cstheme="majorBidi"/>
          <w:color w:val="000000"/>
        </w:rPr>
        <w:t xml:space="preserve">* Piaget (Cognitive Constructivism): Learning occurs through processes of assimilation (fitting new information into existing mental schemas) and accommodation (modifying schemas when new information does not fit). Disequilibrium drives cognitive growth. </w:t>
      </w:r>
    </w:p>
    <w:p w14:paraId="038EF464" w14:textId="5F553FC0" w:rsidR="00691968" w:rsidRDefault="00691968" w:rsidP="00691968">
      <w:pPr>
        <w:autoSpaceDE w:val="0"/>
        <w:autoSpaceDN w:val="0"/>
        <w:jc w:val="both"/>
        <w:rPr>
          <w:rFonts w:asciiTheme="majorBidi" w:eastAsia="Vazir" w:hAnsiTheme="majorBidi" w:cstheme="majorBidi"/>
          <w:color w:val="000000"/>
        </w:rPr>
      </w:pPr>
      <w:r w:rsidRPr="00A826A1">
        <w:rPr>
          <w:rFonts w:asciiTheme="majorBidi" w:eastAsia="Vazir" w:hAnsiTheme="majorBidi" w:cstheme="majorBidi"/>
          <w:color w:val="000000"/>
        </w:rPr>
        <w:t>* Vygotsky (Social Constructivism): Learning is fundamentally a social act. The concept of the Zone of Proximal Development (ZPD) is central: the gap between what a learner can do independently and what they can achieve with guidance from a more capable peer or teacher. Effective instruction operates within this zone, utilizing scaffolding</w:t>
      </w:r>
      <w:r w:rsidR="001008A5">
        <w:rPr>
          <w:rFonts w:asciiTheme="majorBidi" w:eastAsia="Liberation Sans" w:hAnsiTheme="majorBidi" w:cstheme="majorBidi"/>
          <w:color w:val="000000"/>
        </w:rPr>
        <w:t>-</w:t>
      </w:r>
      <w:r w:rsidRPr="00A826A1">
        <w:rPr>
          <w:rFonts w:asciiTheme="majorBidi" w:eastAsia="Vazir" w:hAnsiTheme="majorBidi" w:cstheme="majorBidi"/>
          <w:color w:val="000000"/>
        </w:rPr>
        <w:t>temporary support structures that are gradually withdrawn as competence increases [7].</w:t>
      </w:r>
    </w:p>
    <w:p w14:paraId="02CB4995" w14:textId="77777777" w:rsidR="00D12965" w:rsidRPr="00A826A1" w:rsidRDefault="00D12965" w:rsidP="00691968">
      <w:pPr>
        <w:autoSpaceDE w:val="0"/>
        <w:autoSpaceDN w:val="0"/>
        <w:jc w:val="both"/>
        <w:rPr>
          <w:rFonts w:asciiTheme="majorBidi" w:hAnsiTheme="majorBidi" w:cstheme="majorBidi"/>
        </w:rPr>
      </w:pPr>
    </w:p>
    <w:p w14:paraId="1E4261D1" w14:textId="77777777" w:rsidR="00691968" w:rsidRPr="00A826A1" w:rsidRDefault="00691968" w:rsidP="00691968">
      <w:pPr>
        <w:autoSpaceDE w:val="0"/>
        <w:autoSpaceDN w:val="0"/>
        <w:rPr>
          <w:rFonts w:asciiTheme="majorBidi" w:hAnsiTheme="majorBidi" w:cstheme="majorBidi"/>
        </w:rPr>
      </w:pPr>
      <w:r w:rsidRPr="00A826A1">
        <w:rPr>
          <w:rFonts w:asciiTheme="majorBidi" w:eastAsia="Vazir" w:hAnsiTheme="majorBidi" w:cstheme="majorBidi"/>
          <w:b/>
          <w:color w:val="000000"/>
        </w:rPr>
        <w:t>2.3 Humanistic and Motivational Theories</w:t>
      </w:r>
    </w:p>
    <w:p w14:paraId="73AF5F52" w14:textId="77777777" w:rsidR="00691968" w:rsidRDefault="00691968" w:rsidP="00691968">
      <w:pPr>
        <w:autoSpaceDE w:val="0"/>
        <w:autoSpaceDN w:val="0"/>
        <w:jc w:val="both"/>
        <w:rPr>
          <w:rFonts w:asciiTheme="majorBidi" w:eastAsia="Vazir" w:hAnsiTheme="majorBidi" w:cstheme="majorBidi"/>
          <w:color w:val="000000"/>
        </w:rPr>
      </w:pPr>
      <w:r w:rsidRPr="00A826A1">
        <w:rPr>
          <w:rFonts w:asciiTheme="majorBidi" w:eastAsia="Vazir" w:hAnsiTheme="majorBidi" w:cstheme="majorBidi"/>
          <w:color w:val="000000"/>
        </w:rPr>
        <w:t>While behaviorism and cognitive science focus on how learning happens, motivational theories address why students engage (or disengage). Humanistic psychology emphasized the student’s inherent drive toward growth and self-actualization [8].</w:t>
      </w:r>
    </w:p>
    <w:p w14:paraId="65DF19B3" w14:textId="77777777" w:rsidR="00D12965" w:rsidRPr="00A826A1" w:rsidRDefault="00D12965" w:rsidP="00691968">
      <w:pPr>
        <w:autoSpaceDE w:val="0"/>
        <w:autoSpaceDN w:val="0"/>
        <w:jc w:val="both"/>
        <w:rPr>
          <w:rFonts w:asciiTheme="majorBidi" w:hAnsiTheme="majorBidi" w:cstheme="majorBidi"/>
        </w:rPr>
      </w:pPr>
    </w:p>
    <w:p w14:paraId="29E8C92C" w14:textId="77777777" w:rsidR="00691968" w:rsidRPr="00A826A1" w:rsidRDefault="00691968" w:rsidP="00691968">
      <w:pPr>
        <w:autoSpaceDE w:val="0"/>
        <w:autoSpaceDN w:val="0"/>
        <w:jc w:val="both"/>
        <w:rPr>
          <w:rFonts w:asciiTheme="majorBidi" w:hAnsiTheme="majorBidi" w:cstheme="majorBidi"/>
        </w:rPr>
      </w:pPr>
      <w:r w:rsidRPr="00A826A1">
        <w:rPr>
          <w:rFonts w:asciiTheme="majorBidi" w:eastAsia="Vazir" w:hAnsiTheme="majorBidi" w:cstheme="majorBidi"/>
          <w:b/>
          <w:color w:val="000000"/>
        </w:rPr>
        <w:t>2.3.1 Self-Determination Theory (SDT)</w:t>
      </w:r>
    </w:p>
    <w:p w14:paraId="627A648A" w14:textId="77777777" w:rsidR="00691968" w:rsidRPr="00A826A1" w:rsidRDefault="00691968" w:rsidP="00691968">
      <w:pPr>
        <w:autoSpaceDE w:val="0"/>
        <w:autoSpaceDN w:val="0"/>
        <w:jc w:val="both"/>
        <w:rPr>
          <w:rFonts w:asciiTheme="majorBidi" w:eastAsia="Vazir" w:hAnsiTheme="majorBidi" w:cstheme="majorBidi"/>
          <w:color w:val="000000"/>
        </w:rPr>
      </w:pPr>
      <w:r w:rsidRPr="00A826A1">
        <w:rPr>
          <w:rFonts w:asciiTheme="majorBidi" w:eastAsia="Vazir" w:hAnsiTheme="majorBidi" w:cstheme="majorBidi"/>
          <w:color w:val="000000"/>
        </w:rPr>
        <w:t xml:space="preserve">SDT has become a dominant framework for understanding intrinsic motivation in education [9, 10]. It posits that optimal functioning and sustained engagement occur when three innate psychological needs are satisfied: </w:t>
      </w:r>
    </w:p>
    <w:p w14:paraId="63934F63" w14:textId="77777777" w:rsidR="00436057" w:rsidRDefault="00691968" w:rsidP="00691968">
      <w:pPr>
        <w:autoSpaceDE w:val="0"/>
        <w:autoSpaceDN w:val="0"/>
        <w:jc w:val="both"/>
        <w:rPr>
          <w:rFonts w:asciiTheme="majorBidi" w:eastAsia="Vazir" w:hAnsiTheme="majorBidi" w:cstheme="majorBidi"/>
          <w:color w:val="000000"/>
        </w:rPr>
      </w:pPr>
      <w:r w:rsidRPr="00A826A1">
        <w:rPr>
          <w:rFonts w:asciiTheme="majorBidi" w:eastAsia="Vazir" w:hAnsiTheme="majorBidi" w:cstheme="majorBidi"/>
          <w:color w:val="000000"/>
        </w:rPr>
        <w:t xml:space="preserve">1. Autonomy: The feeling that one’s actions are self-endorsed and controlled by the self. </w:t>
      </w:r>
    </w:p>
    <w:p w14:paraId="4834091E" w14:textId="77777777" w:rsidR="00436057" w:rsidRDefault="00691968" w:rsidP="00436057">
      <w:pPr>
        <w:autoSpaceDE w:val="0"/>
        <w:autoSpaceDN w:val="0"/>
        <w:jc w:val="both"/>
        <w:rPr>
          <w:rFonts w:asciiTheme="majorBidi" w:eastAsia="Vazir" w:hAnsiTheme="majorBidi" w:cstheme="majorBidi"/>
          <w:color w:val="000000"/>
        </w:rPr>
      </w:pPr>
      <w:r w:rsidRPr="00A826A1">
        <w:rPr>
          <w:rFonts w:asciiTheme="majorBidi" w:eastAsia="Vazir" w:hAnsiTheme="majorBidi" w:cstheme="majorBidi"/>
          <w:color w:val="000000"/>
        </w:rPr>
        <w:t xml:space="preserve">2. Competence: The feeling of mastery and effectiveness in dealing with the environment. </w:t>
      </w:r>
    </w:p>
    <w:p w14:paraId="3D05B238" w14:textId="767A2D98" w:rsidR="00691968" w:rsidRPr="00A826A1" w:rsidRDefault="00691968" w:rsidP="00436057">
      <w:pPr>
        <w:autoSpaceDE w:val="0"/>
        <w:autoSpaceDN w:val="0"/>
        <w:jc w:val="both"/>
        <w:rPr>
          <w:rFonts w:asciiTheme="majorBidi" w:hAnsiTheme="majorBidi" w:cstheme="majorBidi"/>
        </w:rPr>
      </w:pPr>
      <w:r w:rsidRPr="00A826A1">
        <w:rPr>
          <w:rFonts w:asciiTheme="majorBidi" w:eastAsia="Vazir" w:hAnsiTheme="majorBidi" w:cstheme="majorBidi"/>
          <w:color w:val="000000"/>
        </w:rPr>
        <w:t>3. Relatedness: The feeling of being connected to others and cared for.</w:t>
      </w:r>
    </w:p>
    <w:p w14:paraId="1E92F440" w14:textId="77777777" w:rsidR="00691968" w:rsidRDefault="00691968" w:rsidP="00691968">
      <w:pPr>
        <w:autoSpaceDE w:val="0"/>
        <w:autoSpaceDN w:val="0"/>
        <w:jc w:val="both"/>
        <w:rPr>
          <w:rFonts w:asciiTheme="majorBidi" w:eastAsia="Vazir" w:hAnsiTheme="majorBidi" w:cstheme="majorBidi"/>
          <w:color w:val="000000"/>
        </w:rPr>
      </w:pPr>
      <w:r w:rsidRPr="00A826A1">
        <w:rPr>
          <w:rFonts w:asciiTheme="majorBidi" w:eastAsia="Vazir" w:hAnsiTheme="majorBidi" w:cstheme="majorBidi"/>
          <w:color w:val="000000"/>
        </w:rPr>
        <w:t>Educational practices that support these needs (e.g., offering choices, providing informational rather than controlling feedback, fostering a supportive classroom community) promote internalization of academic values and higher quality learning outcomes [9].</w:t>
      </w:r>
    </w:p>
    <w:p w14:paraId="367F9F25" w14:textId="77777777" w:rsidR="00D12965" w:rsidRPr="00A826A1" w:rsidRDefault="00D12965" w:rsidP="00691968">
      <w:pPr>
        <w:autoSpaceDE w:val="0"/>
        <w:autoSpaceDN w:val="0"/>
        <w:jc w:val="both"/>
        <w:rPr>
          <w:rFonts w:asciiTheme="majorBidi" w:hAnsiTheme="majorBidi" w:cstheme="majorBidi"/>
        </w:rPr>
      </w:pPr>
    </w:p>
    <w:p w14:paraId="06B0EFEE" w14:textId="77777777" w:rsidR="00691968" w:rsidRPr="00A826A1" w:rsidRDefault="00691968" w:rsidP="00691968">
      <w:pPr>
        <w:autoSpaceDE w:val="0"/>
        <w:autoSpaceDN w:val="0"/>
        <w:jc w:val="both"/>
        <w:rPr>
          <w:rFonts w:asciiTheme="majorBidi" w:hAnsiTheme="majorBidi" w:cstheme="majorBidi"/>
        </w:rPr>
      </w:pPr>
      <w:r w:rsidRPr="00A826A1">
        <w:rPr>
          <w:rFonts w:asciiTheme="majorBidi" w:eastAsia="Vazir" w:hAnsiTheme="majorBidi" w:cstheme="majorBidi"/>
          <w:b/>
          <w:color w:val="000000"/>
        </w:rPr>
        <w:t>2.3.2 Expectancy-Value Theory</w:t>
      </w:r>
    </w:p>
    <w:p w14:paraId="4CF1252C" w14:textId="77777777" w:rsidR="00691968" w:rsidRPr="00A826A1" w:rsidRDefault="00691968" w:rsidP="00691968">
      <w:pPr>
        <w:autoSpaceDE w:val="0"/>
        <w:autoSpaceDN w:val="0"/>
        <w:jc w:val="both"/>
        <w:rPr>
          <w:rFonts w:asciiTheme="majorBidi" w:hAnsiTheme="majorBidi" w:cstheme="majorBidi"/>
        </w:rPr>
      </w:pPr>
      <w:r w:rsidRPr="00A826A1">
        <w:rPr>
          <w:rFonts w:asciiTheme="majorBidi" w:eastAsia="Vazir" w:hAnsiTheme="majorBidi" w:cstheme="majorBidi"/>
          <w:color w:val="000000"/>
        </w:rPr>
        <w:t>This theory suggests motivation (M) is a product of two main factors: the expectation of success (E) and the perceived value (V) of the task [16].</w:t>
      </w:r>
    </w:p>
    <w:p w14:paraId="5A2BED2A" w14:textId="77777777" w:rsidR="00691968" w:rsidRPr="00A826A1" w:rsidRDefault="00691968" w:rsidP="00691968">
      <w:pPr>
        <w:autoSpaceDE w:val="0"/>
        <w:autoSpaceDN w:val="0"/>
        <w:jc w:val="center"/>
        <w:rPr>
          <w:rFonts w:asciiTheme="majorBidi" w:hAnsiTheme="majorBidi" w:cstheme="majorBidi"/>
        </w:rPr>
      </w:pPr>
      <w:r>
        <w:rPr>
          <w:rFonts w:asciiTheme="majorBidi" w:eastAsia="KaTeX_Math" w:hAnsiTheme="majorBidi" w:cstheme="majorBidi"/>
          <w:color w:val="000000"/>
        </w:rPr>
        <w:t>(</w:t>
      </w:r>
      <w:r w:rsidRPr="00A826A1">
        <w:rPr>
          <w:rFonts w:asciiTheme="majorBidi" w:eastAsia="KaTeX_Math" w:hAnsiTheme="majorBidi" w:cstheme="majorBidi"/>
          <w:color w:val="000000"/>
        </w:rPr>
        <w:t>M</w:t>
      </w:r>
      <w:r w:rsidRPr="00A826A1">
        <w:rPr>
          <w:rFonts w:asciiTheme="majorBidi" w:eastAsia="KaTeX_Main" w:hAnsiTheme="majorBidi" w:cstheme="majorBidi"/>
          <w:color w:val="000000"/>
        </w:rPr>
        <w:t xml:space="preserve"> =</w:t>
      </w:r>
      <w:r w:rsidRPr="00A826A1">
        <w:rPr>
          <w:rFonts w:asciiTheme="majorBidi" w:eastAsia="KaTeX_Math" w:hAnsiTheme="majorBidi" w:cstheme="majorBidi"/>
          <w:color w:val="000000"/>
        </w:rPr>
        <w:t xml:space="preserve"> E</w:t>
      </w:r>
      <w:r w:rsidRPr="00A826A1">
        <w:rPr>
          <w:rFonts w:asciiTheme="majorBidi" w:eastAsia="KaTeX_Main" w:hAnsiTheme="majorBidi" w:cstheme="majorBidi"/>
          <w:color w:val="000000"/>
        </w:rPr>
        <w:t xml:space="preserve"> ×</w:t>
      </w:r>
      <w:r w:rsidRPr="00A826A1">
        <w:rPr>
          <w:rFonts w:asciiTheme="majorBidi" w:eastAsia="KaTeX_Math" w:hAnsiTheme="majorBidi" w:cstheme="majorBidi"/>
          <w:color w:val="000000"/>
        </w:rPr>
        <w:t xml:space="preserve"> V</w:t>
      </w:r>
      <w:r>
        <w:rPr>
          <w:rFonts w:asciiTheme="majorBidi" w:eastAsia="KaTeX_Math" w:hAnsiTheme="majorBidi" w:cstheme="majorBidi"/>
          <w:color w:val="000000"/>
        </w:rPr>
        <w:t>)</w:t>
      </w:r>
    </w:p>
    <w:p w14:paraId="6236387A" w14:textId="5A8436D3" w:rsidR="00691968" w:rsidRDefault="00691968" w:rsidP="00691968">
      <w:pPr>
        <w:autoSpaceDE w:val="0"/>
        <w:autoSpaceDN w:val="0"/>
        <w:jc w:val="both"/>
        <w:rPr>
          <w:rFonts w:asciiTheme="majorBidi" w:eastAsia="Vazir" w:hAnsiTheme="majorBidi" w:cstheme="majorBidi"/>
          <w:color w:val="000000"/>
        </w:rPr>
      </w:pPr>
      <w:r w:rsidRPr="00A826A1">
        <w:rPr>
          <w:rFonts w:asciiTheme="majorBidi" w:eastAsia="Vazir" w:hAnsiTheme="majorBidi" w:cstheme="majorBidi"/>
          <w:color w:val="000000"/>
        </w:rPr>
        <w:t xml:space="preserve">If a student believes they cannot succeed (E is low) or if they perceive the task as irrelevant (V is low), motivation will be low, regardless of the other factor. Educational interventions must therefore address both </w:t>
      </w:r>
      <w:r w:rsidR="00267703">
        <w:rPr>
          <w:rFonts w:asciiTheme="majorBidi" w:eastAsia="Vazir" w:hAnsiTheme="majorBidi" w:cstheme="majorBidi"/>
          <w:color w:val="000000"/>
        </w:rPr>
        <w:t>confidence-building</w:t>
      </w:r>
      <w:r w:rsidRPr="00A826A1">
        <w:rPr>
          <w:rFonts w:asciiTheme="majorBidi" w:eastAsia="Vazir" w:hAnsiTheme="majorBidi" w:cstheme="majorBidi"/>
          <w:color w:val="000000"/>
        </w:rPr>
        <w:t xml:space="preserve"> and the relevance of the curriculum to students’ lives and goals.</w:t>
      </w:r>
    </w:p>
    <w:p w14:paraId="50AE5491" w14:textId="77777777" w:rsidR="00D12965" w:rsidRPr="00A826A1" w:rsidRDefault="00D12965" w:rsidP="00691968">
      <w:pPr>
        <w:autoSpaceDE w:val="0"/>
        <w:autoSpaceDN w:val="0"/>
        <w:jc w:val="both"/>
        <w:rPr>
          <w:rFonts w:asciiTheme="majorBidi" w:hAnsiTheme="majorBidi" w:cstheme="majorBidi"/>
        </w:rPr>
      </w:pPr>
    </w:p>
    <w:p w14:paraId="55218074" w14:textId="77777777" w:rsidR="00691968" w:rsidRPr="00A826A1" w:rsidRDefault="00691968" w:rsidP="00691968">
      <w:pPr>
        <w:autoSpaceDE w:val="0"/>
        <w:autoSpaceDN w:val="0"/>
        <w:rPr>
          <w:rFonts w:asciiTheme="majorBidi" w:hAnsiTheme="majorBidi" w:cstheme="majorBidi"/>
          <w:sz w:val="22"/>
          <w:szCs w:val="22"/>
        </w:rPr>
      </w:pPr>
      <w:r w:rsidRPr="00A826A1">
        <w:rPr>
          <w:rFonts w:asciiTheme="majorBidi" w:eastAsia="Vazir" w:hAnsiTheme="majorBidi" w:cstheme="majorBidi"/>
          <w:b/>
          <w:color w:val="000000"/>
          <w:sz w:val="22"/>
          <w:szCs w:val="22"/>
        </w:rPr>
        <w:t>3. Application of Psychological Principles in Educational Systems</w:t>
      </w:r>
    </w:p>
    <w:p w14:paraId="0149BDB5" w14:textId="77777777" w:rsidR="00691968" w:rsidRDefault="00691968" w:rsidP="00691968">
      <w:pPr>
        <w:autoSpaceDE w:val="0"/>
        <w:autoSpaceDN w:val="0"/>
        <w:jc w:val="both"/>
        <w:rPr>
          <w:rFonts w:asciiTheme="majorBidi" w:eastAsia="Vazir" w:hAnsiTheme="majorBidi" w:cstheme="majorBidi"/>
          <w:color w:val="000000"/>
        </w:rPr>
      </w:pPr>
      <w:r w:rsidRPr="00A826A1">
        <w:rPr>
          <w:rFonts w:asciiTheme="majorBidi" w:eastAsia="Vazir" w:hAnsiTheme="majorBidi" w:cstheme="majorBidi"/>
          <w:color w:val="000000"/>
        </w:rPr>
        <w:t>The relevance of educational psychology is tested by its successful translation into actionable practices within the complex ecosystem of schools.</w:t>
      </w:r>
    </w:p>
    <w:p w14:paraId="53583CEF" w14:textId="77777777" w:rsidR="00D12965" w:rsidRPr="00A826A1" w:rsidRDefault="00D12965" w:rsidP="00691968">
      <w:pPr>
        <w:autoSpaceDE w:val="0"/>
        <w:autoSpaceDN w:val="0"/>
        <w:jc w:val="both"/>
        <w:rPr>
          <w:rFonts w:asciiTheme="majorBidi" w:hAnsiTheme="majorBidi" w:cstheme="majorBidi"/>
        </w:rPr>
      </w:pPr>
    </w:p>
    <w:p w14:paraId="04FF7AE3" w14:textId="77777777" w:rsidR="00691968" w:rsidRPr="00A826A1" w:rsidRDefault="00691968" w:rsidP="00691968">
      <w:pPr>
        <w:autoSpaceDE w:val="0"/>
        <w:autoSpaceDN w:val="0"/>
        <w:rPr>
          <w:rFonts w:asciiTheme="majorBidi" w:hAnsiTheme="majorBidi" w:cstheme="majorBidi"/>
        </w:rPr>
      </w:pPr>
      <w:r w:rsidRPr="00A826A1">
        <w:rPr>
          <w:rFonts w:asciiTheme="majorBidi" w:eastAsia="Vazir" w:hAnsiTheme="majorBidi" w:cstheme="majorBidi"/>
          <w:b/>
          <w:color w:val="000000"/>
        </w:rPr>
        <w:t>3.1 Curriculum Design and Pedagogical Practice</w:t>
      </w:r>
    </w:p>
    <w:p w14:paraId="5819F76F" w14:textId="2A489984" w:rsidR="00691968" w:rsidRDefault="00691968" w:rsidP="00691968">
      <w:pPr>
        <w:autoSpaceDE w:val="0"/>
        <w:autoSpaceDN w:val="0"/>
        <w:jc w:val="both"/>
        <w:rPr>
          <w:rFonts w:asciiTheme="majorBidi" w:eastAsia="Vazir" w:hAnsiTheme="majorBidi" w:cstheme="majorBidi"/>
          <w:color w:val="000000"/>
        </w:rPr>
      </w:pPr>
      <w:r w:rsidRPr="00A826A1">
        <w:rPr>
          <w:rFonts w:asciiTheme="majorBidi" w:eastAsia="Vazir" w:hAnsiTheme="majorBidi" w:cstheme="majorBidi"/>
          <w:color w:val="000000"/>
        </w:rPr>
        <w:t xml:space="preserve">The shift from content transmission to knowledge construction is fundamentally </w:t>
      </w:r>
      <w:r w:rsidR="00267703">
        <w:rPr>
          <w:rFonts w:asciiTheme="majorBidi" w:eastAsia="Vazir" w:hAnsiTheme="majorBidi" w:cstheme="majorBidi"/>
          <w:color w:val="000000"/>
        </w:rPr>
        <w:t>psychological</w:t>
      </w:r>
      <w:r w:rsidRPr="00A826A1">
        <w:rPr>
          <w:rFonts w:asciiTheme="majorBidi" w:eastAsia="Vazir" w:hAnsiTheme="majorBidi" w:cstheme="majorBidi"/>
          <w:color w:val="000000"/>
        </w:rPr>
        <w:t>.</w:t>
      </w:r>
    </w:p>
    <w:p w14:paraId="0C7DF6A0" w14:textId="77777777" w:rsidR="00D12965" w:rsidRPr="00A826A1" w:rsidRDefault="00D12965" w:rsidP="00691968">
      <w:pPr>
        <w:autoSpaceDE w:val="0"/>
        <w:autoSpaceDN w:val="0"/>
        <w:jc w:val="both"/>
        <w:rPr>
          <w:rFonts w:asciiTheme="majorBidi" w:hAnsiTheme="majorBidi" w:cstheme="majorBidi"/>
        </w:rPr>
      </w:pPr>
    </w:p>
    <w:p w14:paraId="77363FA9" w14:textId="77777777" w:rsidR="00691968" w:rsidRPr="00A826A1" w:rsidRDefault="00691968" w:rsidP="00691968">
      <w:pPr>
        <w:autoSpaceDE w:val="0"/>
        <w:autoSpaceDN w:val="0"/>
        <w:rPr>
          <w:rFonts w:asciiTheme="majorBidi" w:hAnsiTheme="majorBidi" w:cstheme="majorBidi"/>
        </w:rPr>
      </w:pPr>
      <w:r w:rsidRPr="00A826A1">
        <w:rPr>
          <w:rFonts w:asciiTheme="majorBidi" w:eastAsia="Vazir" w:hAnsiTheme="majorBidi" w:cstheme="majorBidi"/>
          <w:b/>
          <w:color w:val="000000"/>
        </w:rPr>
        <w:t>3.1.1 Inquiry-Based and Project-Based Learning (PBL)</w:t>
      </w:r>
    </w:p>
    <w:p w14:paraId="77352B48" w14:textId="77777777" w:rsidR="00691968" w:rsidRDefault="00691968" w:rsidP="00691968">
      <w:pPr>
        <w:autoSpaceDE w:val="0"/>
        <w:autoSpaceDN w:val="0"/>
        <w:jc w:val="both"/>
        <w:rPr>
          <w:rFonts w:asciiTheme="majorBidi" w:eastAsia="Vazir" w:hAnsiTheme="majorBidi" w:cstheme="majorBidi"/>
          <w:color w:val="000000"/>
        </w:rPr>
      </w:pPr>
      <w:r w:rsidRPr="00A826A1">
        <w:rPr>
          <w:rFonts w:asciiTheme="majorBidi" w:eastAsia="Vazir" w:hAnsiTheme="majorBidi" w:cstheme="majorBidi"/>
          <w:color w:val="000000"/>
        </w:rPr>
        <w:t>Informed by constructivism, PBL requires students to tackle complex, authentic problems. This methodology inherently promotes deep conceptual understanding over rote memorization by requiring students to search, evaluate, and synthesize information (active processing) [12]. However, recent meta-analyses caution that minimal guidance in complex domains can lead to cognitive overload, confirming that highly structured initial instruction (drawing on cognitive load principles) followed by guided inquiry is often optimal (the Explicit Instruction vs. Discovery Learning debate) [12].</w:t>
      </w:r>
    </w:p>
    <w:p w14:paraId="4058683D" w14:textId="77777777" w:rsidR="00D12965" w:rsidRPr="00A826A1" w:rsidRDefault="00D12965" w:rsidP="00691968">
      <w:pPr>
        <w:autoSpaceDE w:val="0"/>
        <w:autoSpaceDN w:val="0"/>
        <w:jc w:val="both"/>
        <w:rPr>
          <w:rFonts w:asciiTheme="majorBidi" w:hAnsiTheme="majorBidi" w:cstheme="majorBidi"/>
        </w:rPr>
      </w:pPr>
    </w:p>
    <w:p w14:paraId="4DCA50C8" w14:textId="77777777" w:rsidR="00691968" w:rsidRPr="00A826A1" w:rsidRDefault="00691968" w:rsidP="00691968">
      <w:pPr>
        <w:autoSpaceDE w:val="0"/>
        <w:autoSpaceDN w:val="0"/>
        <w:rPr>
          <w:rFonts w:asciiTheme="majorBidi" w:hAnsiTheme="majorBidi" w:cstheme="majorBidi"/>
        </w:rPr>
      </w:pPr>
      <w:r w:rsidRPr="00A826A1">
        <w:rPr>
          <w:rFonts w:asciiTheme="majorBidi" w:eastAsia="Vazir" w:hAnsiTheme="majorBidi" w:cstheme="majorBidi"/>
          <w:b/>
          <w:color w:val="000000"/>
        </w:rPr>
        <w:t>3.1.2 Differentiated Instruction</w:t>
      </w:r>
    </w:p>
    <w:p w14:paraId="6589EA96" w14:textId="77777777" w:rsidR="00691968" w:rsidRDefault="00691968" w:rsidP="00691968">
      <w:pPr>
        <w:autoSpaceDE w:val="0"/>
        <w:autoSpaceDN w:val="0"/>
        <w:jc w:val="both"/>
        <w:rPr>
          <w:rFonts w:asciiTheme="majorBidi" w:eastAsia="Vazir" w:hAnsiTheme="majorBidi" w:cstheme="majorBidi"/>
          <w:color w:val="000000"/>
        </w:rPr>
      </w:pPr>
      <w:r w:rsidRPr="00A826A1">
        <w:rPr>
          <w:rFonts w:asciiTheme="majorBidi" w:eastAsia="Vazir" w:hAnsiTheme="majorBidi" w:cstheme="majorBidi"/>
          <w:color w:val="000000"/>
        </w:rPr>
        <w:t>Cognitive diversity necessitates differentiation [13]. Based on the understanding that learners possess varied prior knowledge, cognitive strengths (e.g., visual vs. verbal processing), and learning paces, differentiation involves adjusting content, process, product, or learning environment. This practice operationalizes the understanding that learning is not uniform, addressing individual differences in working memory capacity and schema organization [6, 13].</w:t>
      </w:r>
    </w:p>
    <w:p w14:paraId="17E9FFEF" w14:textId="77777777" w:rsidR="00D12965" w:rsidRPr="00A826A1" w:rsidRDefault="00D12965" w:rsidP="00691968">
      <w:pPr>
        <w:autoSpaceDE w:val="0"/>
        <w:autoSpaceDN w:val="0"/>
        <w:jc w:val="both"/>
        <w:rPr>
          <w:rFonts w:asciiTheme="majorBidi" w:hAnsiTheme="majorBidi" w:cstheme="majorBidi"/>
        </w:rPr>
      </w:pPr>
    </w:p>
    <w:p w14:paraId="76F965D7" w14:textId="77777777" w:rsidR="00691968" w:rsidRPr="00A826A1" w:rsidRDefault="00691968" w:rsidP="00691968">
      <w:pPr>
        <w:autoSpaceDE w:val="0"/>
        <w:autoSpaceDN w:val="0"/>
        <w:rPr>
          <w:rFonts w:asciiTheme="majorBidi" w:hAnsiTheme="majorBidi" w:cstheme="majorBidi"/>
        </w:rPr>
      </w:pPr>
      <w:r w:rsidRPr="00A826A1">
        <w:rPr>
          <w:rFonts w:asciiTheme="majorBidi" w:eastAsia="Vazir" w:hAnsiTheme="majorBidi" w:cstheme="majorBidi"/>
          <w:b/>
          <w:color w:val="000000"/>
        </w:rPr>
        <w:t>3.2 Assessment and Feedback Mechanisms</w:t>
      </w:r>
    </w:p>
    <w:p w14:paraId="58C4D1C7" w14:textId="77777777" w:rsidR="00691968" w:rsidRDefault="00691968" w:rsidP="00691968">
      <w:pPr>
        <w:autoSpaceDE w:val="0"/>
        <w:autoSpaceDN w:val="0"/>
        <w:jc w:val="both"/>
        <w:rPr>
          <w:rFonts w:asciiTheme="majorBidi" w:eastAsia="Vazir" w:hAnsiTheme="majorBidi" w:cstheme="majorBidi"/>
          <w:color w:val="000000"/>
        </w:rPr>
      </w:pPr>
      <w:r w:rsidRPr="00A826A1">
        <w:rPr>
          <w:rFonts w:asciiTheme="majorBidi" w:eastAsia="Vazir" w:hAnsiTheme="majorBidi" w:cstheme="majorBidi"/>
          <w:color w:val="000000"/>
        </w:rPr>
        <w:t>Assessment shapes what students learn and how motivated they remain. Psychological principles guide the move toward assessments that promote learning rather than merely measuring outcomes.</w:t>
      </w:r>
    </w:p>
    <w:p w14:paraId="79777931" w14:textId="77777777" w:rsidR="00D12965" w:rsidRDefault="00D12965" w:rsidP="00691968">
      <w:pPr>
        <w:autoSpaceDE w:val="0"/>
        <w:autoSpaceDN w:val="0"/>
        <w:jc w:val="both"/>
        <w:rPr>
          <w:rFonts w:asciiTheme="majorBidi" w:eastAsia="Vazir" w:hAnsiTheme="majorBidi" w:cstheme="majorBidi"/>
          <w:color w:val="000000"/>
        </w:rPr>
      </w:pPr>
    </w:p>
    <w:p w14:paraId="4F95BD44" w14:textId="77777777" w:rsidR="00D12965" w:rsidRDefault="00D12965" w:rsidP="00691968">
      <w:pPr>
        <w:autoSpaceDE w:val="0"/>
        <w:autoSpaceDN w:val="0"/>
        <w:jc w:val="both"/>
        <w:rPr>
          <w:rFonts w:asciiTheme="majorBidi" w:eastAsia="Vazir" w:hAnsiTheme="majorBidi" w:cstheme="majorBidi"/>
          <w:color w:val="000000"/>
        </w:rPr>
      </w:pPr>
    </w:p>
    <w:p w14:paraId="6BA35B52" w14:textId="77777777" w:rsidR="00D12965" w:rsidRDefault="00D12965" w:rsidP="00691968">
      <w:pPr>
        <w:autoSpaceDE w:val="0"/>
        <w:autoSpaceDN w:val="0"/>
        <w:jc w:val="both"/>
        <w:rPr>
          <w:rFonts w:asciiTheme="majorBidi" w:eastAsia="Vazir" w:hAnsiTheme="majorBidi" w:cstheme="majorBidi"/>
          <w:color w:val="000000"/>
        </w:rPr>
      </w:pPr>
    </w:p>
    <w:p w14:paraId="31DB915F" w14:textId="77777777" w:rsidR="00D12965" w:rsidRPr="00A826A1" w:rsidRDefault="00D12965" w:rsidP="00691968">
      <w:pPr>
        <w:autoSpaceDE w:val="0"/>
        <w:autoSpaceDN w:val="0"/>
        <w:jc w:val="both"/>
        <w:rPr>
          <w:rFonts w:asciiTheme="majorBidi" w:hAnsiTheme="majorBidi" w:cstheme="majorBidi"/>
        </w:rPr>
      </w:pPr>
    </w:p>
    <w:p w14:paraId="11B0B60F" w14:textId="77777777" w:rsidR="00691968" w:rsidRPr="00A826A1" w:rsidRDefault="00691968" w:rsidP="00691968">
      <w:pPr>
        <w:autoSpaceDE w:val="0"/>
        <w:autoSpaceDN w:val="0"/>
        <w:rPr>
          <w:rFonts w:asciiTheme="majorBidi" w:hAnsiTheme="majorBidi" w:cstheme="majorBidi"/>
        </w:rPr>
      </w:pPr>
      <w:r w:rsidRPr="00A826A1">
        <w:rPr>
          <w:rFonts w:asciiTheme="majorBidi" w:eastAsia="Vazir" w:hAnsiTheme="majorBidi" w:cstheme="majorBidi"/>
          <w:b/>
          <w:color w:val="000000"/>
        </w:rPr>
        <w:t>3.2.1 Formative Assessment and Feedback Quality</w:t>
      </w:r>
    </w:p>
    <w:p w14:paraId="43450D1B" w14:textId="021E0559" w:rsidR="00691968" w:rsidRPr="00A826A1" w:rsidRDefault="00691968" w:rsidP="00691968">
      <w:pPr>
        <w:autoSpaceDE w:val="0"/>
        <w:autoSpaceDN w:val="0"/>
        <w:jc w:val="both"/>
        <w:rPr>
          <w:rFonts w:asciiTheme="majorBidi" w:eastAsia="Vazir" w:hAnsiTheme="majorBidi" w:cstheme="majorBidi"/>
          <w:color w:val="000000"/>
        </w:rPr>
      </w:pPr>
      <w:r w:rsidRPr="00A826A1">
        <w:rPr>
          <w:rFonts w:asciiTheme="majorBidi" w:eastAsia="Vazir" w:hAnsiTheme="majorBidi" w:cstheme="majorBidi"/>
          <w:color w:val="000000"/>
        </w:rPr>
        <w:t>Formative assessment</w:t>
      </w:r>
      <w:r w:rsidR="001008A5">
        <w:rPr>
          <w:rFonts w:asciiTheme="majorBidi" w:eastAsia="Liberation Sans" w:hAnsiTheme="majorBidi" w:cstheme="majorBidi"/>
          <w:color w:val="000000"/>
        </w:rPr>
        <w:t>-</w:t>
      </w:r>
      <w:r w:rsidRPr="00A826A1">
        <w:rPr>
          <w:rFonts w:asciiTheme="majorBidi" w:eastAsia="Vazir" w:hAnsiTheme="majorBidi" w:cstheme="majorBidi"/>
          <w:color w:val="000000"/>
        </w:rPr>
        <w:t xml:space="preserve">assessment for </w:t>
      </w:r>
      <w:r w:rsidR="00267703">
        <w:rPr>
          <w:rFonts w:asciiTheme="majorBidi" w:eastAsia="Vazir" w:hAnsiTheme="majorBidi" w:cstheme="majorBidi"/>
          <w:color w:val="000000"/>
        </w:rPr>
        <w:t>learning</w:t>
      </w:r>
      <w:r w:rsidRPr="00A826A1">
        <w:rPr>
          <w:rFonts w:asciiTheme="majorBidi" w:eastAsia="Vazir" w:hAnsiTheme="majorBidi" w:cstheme="majorBidi"/>
          <w:color w:val="000000"/>
        </w:rPr>
        <w:t xml:space="preserve"> heavily reliant on principles derived from research on feedback [14, 15]. Effective feedback must be: </w:t>
      </w:r>
    </w:p>
    <w:p w14:paraId="4B148C5D" w14:textId="77777777" w:rsidR="00691968" w:rsidRPr="00A826A1" w:rsidRDefault="00691968" w:rsidP="00691968">
      <w:pPr>
        <w:autoSpaceDE w:val="0"/>
        <w:autoSpaceDN w:val="0"/>
        <w:jc w:val="both"/>
        <w:rPr>
          <w:rFonts w:asciiTheme="majorBidi" w:eastAsia="Vazir" w:hAnsiTheme="majorBidi" w:cstheme="majorBidi"/>
          <w:color w:val="000000"/>
        </w:rPr>
      </w:pPr>
      <w:r w:rsidRPr="00A826A1">
        <w:rPr>
          <w:rFonts w:asciiTheme="majorBidi" w:eastAsia="Vazir" w:hAnsiTheme="majorBidi" w:cstheme="majorBidi"/>
          <w:color w:val="000000"/>
        </w:rPr>
        <w:t xml:space="preserve">1. Timely: Close to the point of action. </w:t>
      </w:r>
    </w:p>
    <w:p w14:paraId="6E59B788" w14:textId="77777777" w:rsidR="00691968" w:rsidRPr="00A826A1" w:rsidRDefault="00691968" w:rsidP="00691968">
      <w:pPr>
        <w:autoSpaceDE w:val="0"/>
        <w:autoSpaceDN w:val="0"/>
        <w:jc w:val="both"/>
        <w:rPr>
          <w:rFonts w:asciiTheme="majorBidi" w:eastAsia="Vazir" w:hAnsiTheme="majorBidi" w:cstheme="majorBidi"/>
          <w:color w:val="000000"/>
        </w:rPr>
      </w:pPr>
      <w:r w:rsidRPr="00A826A1">
        <w:rPr>
          <w:rFonts w:asciiTheme="majorBidi" w:eastAsia="Vazir" w:hAnsiTheme="majorBidi" w:cstheme="majorBidi"/>
          <w:color w:val="000000"/>
        </w:rPr>
        <w:t xml:space="preserve">2. Specific and Descriptive: Explaining why an answer is incorrect, not just that it is incorrect. </w:t>
      </w:r>
    </w:p>
    <w:p w14:paraId="02E2BDE4" w14:textId="77777777" w:rsidR="00691968" w:rsidRPr="00A826A1" w:rsidRDefault="00691968" w:rsidP="00691968">
      <w:pPr>
        <w:autoSpaceDE w:val="0"/>
        <w:autoSpaceDN w:val="0"/>
        <w:jc w:val="both"/>
        <w:rPr>
          <w:rFonts w:asciiTheme="majorBidi" w:hAnsiTheme="majorBidi" w:cstheme="majorBidi"/>
        </w:rPr>
      </w:pPr>
      <w:r w:rsidRPr="00A826A1">
        <w:rPr>
          <w:rFonts w:asciiTheme="majorBidi" w:eastAsia="Vazir" w:hAnsiTheme="majorBidi" w:cstheme="majorBidi"/>
          <w:color w:val="000000"/>
        </w:rPr>
        <w:t>3. Actionable: Providing clear steps for improvement (addressing competence and self-regulation).</w:t>
      </w:r>
    </w:p>
    <w:p w14:paraId="4F9B9371" w14:textId="201EC965" w:rsidR="00691968" w:rsidRDefault="00691968" w:rsidP="00691968">
      <w:pPr>
        <w:autoSpaceDE w:val="0"/>
        <w:autoSpaceDN w:val="0"/>
        <w:jc w:val="both"/>
        <w:rPr>
          <w:rFonts w:asciiTheme="majorBidi" w:eastAsia="Vazir" w:hAnsiTheme="majorBidi" w:cstheme="majorBidi"/>
          <w:color w:val="000000"/>
        </w:rPr>
      </w:pPr>
      <w:r w:rsidRPr="00A826A1">
        <w:rPr>
          <w:rFonts w:asciiTheme="majorBidi" w:eastAsia="Vazir" w:hAnsiTheme="majorBidi" w:cstheme="majorBidi"/>
          <w:color w:val="000000"/>
        </w:rPr>
        <w:t xml:space="preserve">Hattie and Timperley (2007) categorized feedback based on its focus: task-level, process-level, self-regulation level, and self-efficacy level. Feedback targeting process and self-regulation </w:t>
      </w:r>
      <w:r w:rsidR="00267703">
        <w:rPr>
          <w:rFonts w:asciiTheme="majorBidi" w:eastAsia="Vazir" w:hAnsiTheme="majorBidi" w:cstheme="majorBidi"/>
          <w:color w:val="000000"/>
        </w:rPr>
        <w:t>are</w:t>
      </w:r>
      <w:r w:rsidRPr="00A826A1">
        <w:rPr>
          <w:rFonts w:asciiTheme="majorBidi" w:eastAsia="Vazir" w:hAnsiTheme="majorBidi" w:cstheme="majorBidi"/>
          <w:color w:val="000000"/>
        </w:rPr>
        <w:t xml:space="preserve"> generally most potent for long-term learning gains [15].</w:t>
      </w:r>
    </w:p>
    <w:p w14:paraId="68819B89" w14:textId="77777777" w:rsidR="00D12965" w:rsidRPr="00A826A1" w:rsidRDefault="00D12965" w:rsidP="00691968">
      <w:pPr>
        <w:autoSpaceDE w:val="0"/>
        <w:autoSpaceDN w:val="0"/>
        <w:jc w:val="both"/>
        <w:rPr>
          <w:rFonts w:asciiTheme="majorBidi" w:hAnsiTheme="majorBidi" w:cstheme="majorBidi"/>
        </w:rPr>
      </w:pPr>
    </w:p>
    <w:p w14:paraId="1E743810" w14:textId="77777777" w:rsidR="00691968" w:rsidRPr="00A826A1" w:rsidRDefault="00691968" w:rsidP="00691968">
      <w:pPr>
        <w:autoSpaceDE w:val="0"/>
        <w:autoSpaceDN w:val="0"/>
        <w:rPr>
          <w:rFonts w:asciiTheme="majorBidi" w:hAnsiTheme="majorBidi" w:cstheme="majorBidi"/>
        </w:rPr>
      </w:pPr>
      <w:r w:rsidRPr="00A826A1">
        <w:rPr>
          <w:rFonts w:asciiTheme="majorBidi" w:eastAsia="Vazir" w:hAnsiTheme="majorBidi" w:cstheme="majorBidi"/>
          <w:b/>
          <w:color w:val="000000"/>
        </w:rPr>
        <w:t>3.2.2 Impact of Assessment on Motivation</w:t>
      </w:r>
    </w:p>
    <w:p w14:paraId="6B977867" w14:textId="77777777" w:rsidR="00691968" w:rsidRDefault="00691968" w:rsidP="00691968">
      <w:pPr>
        <w:autoSpaceDE w:val="0"/>
        <w:autoSpaceDN w:val="0"/>
        <w:jc w:val="both"/>
        <w:rPr>
          <w:rFonts w:asciiTheme="majorBidi" w:eastAsia="Vazir" w:hAnsiTheme="majorBidi" w:cstheme="majorBidi"/>
          <w:color w:val="000000"/>
        </w:rPr>
      </w:pPr>
      <w:r w:rsidRPr="00A826A1">
        <w:rPr>
          <w:rFonts w:asciiTheme="majorBidi" w:eastAsia="Vazir" w:hAnsiTheme="majorBidi" w:cstheme="majorBidi"/>
          <w:color w:val="000000"/>
        </w:rPr>
        <w:t>Standardized, high-stakes testing often induces high levels of anxiety, which can impair working memory function (a key cognitive bottleneck) [16]. Furthermore, when assessments are perceived as controlling or judgmental (e.g., public grading), they can shift students' orientation from intrinsic interest to performance avoidance, undermining autonomy as predicted by SDT [22].</w:t>
      </w:r>
    </w:p>
    <w:p w14:paraId="51992BC4" w14:textId="77777777" w:rsidR="00D12965" w:rsidRPr="00A826A1" w:rsidRDefault="00D12965" w:rsidP="00691968">
      <w:pPr>
        <w:autoSpaceDE w:val="0"/>
        <w:autoSpaceDN w:val="0"/>
        <w:jc w:val="both"/>
        <w:rPr>
          <w:rFonts w:asciiTheme="majorBidi" w:hAnsiTheme="majorBidi" w:cstheme="majorBidi"/>
        </w:rPr>
      </w:pPr>
    </w:p>
    <w:p w14:paraId="2CF30945" w14:textId="77777777" w:rsidR="00691968" w:rsidRPr="00A826A1" w:rsidRDefault="00691968" w:rsidP="00691968">
      <w:pPr>
        <w:autoSpaceDE w:val="0"/>
        <w:autoSpaceDN w:val="0"/>
        <w:rPr>
          <w:rFonts w:asciiTheme="majorBidi" w:hAnsiTheme="majorBidi" w:cstheme="majorBidi"/>
        </w:rPr>
      </w:pPr>
      <w:r w:rsidRPr="00A826A1">
        <w:rPr>
          <w:rFonts w:asciiTheme="majorBidi" w:eastAsia="Vazir" w:hAnsiTheme="majorBidi" w:cstheme="majorBidi"/>
          <w:b/>
          <w:color w:val="000000"/>
        </w:rPr>
        <w:t>3.3 Emotional and Social Dimensions of Learning</w:t>
      </w:r>
    </w:p>
    <w:p w14:paraId="02B76DAB" w14:textId="77777777" w:rsidR="00691968" w:rsidRDefault="00691968" w:rsidP="00691968">
      <w:pPr>
        <w:autoSpaceDE w:val="0"/>
        <w:autoSpaceDN w:val="0"/>
        <w:jc w:val="both"/>
        <w:rPr>
          <w:rFonts w:asciiTheme="majorBidi" w:eastAsia="Vazir" w:hAnsiTheme="majorBidi" w:cstheme="majorBidi"/>
          <w:color w:val="000000"/>
        </w:rPr>
      </w:pPr>
      <w:r w:rsidRPr="00A826A1">
        <w:rPr>
          <w:rFonts w:asciiTheme="majorBidi" w:eastAsia="Vazir" w:hAnsiTheme="majorBidi" w:cstheme="majorBidi"/>
          <w:color w:val="000000"/>
        </w:rPr>
        <w:t>The rise of socio-emotional learning (SEL) acknowledges that cognition is inextricably linked to affect [17, 18].</w:t>
      </w:r>
    </w:p>
    <w:p w14:paraId="7CA2C436" w14:textId="77777777" w:rsidR="00D12965" w:rsidRPr="00A826A1" w:rsidRDefault="00D12965" w:rsidP="00691968">
      <w:pPr>
        <w:autoSpaceDE w:val="0"/>
        <w:autoSpaceDN w:val="0"/>
        <w:jc w:val="both"/>
        <w:rPr>
          <w:rFonts w:asciiTheme="majorBidi" w:hAnsiTheme="majorBidi" w:cstheme="majorBidi"/>
        </w:rPr>
      </w:pPr>
    </w:p>
    <w:p w14:paraId="51F6E52E" w14:textId="77777777" w:rsidR="00691968" w:rsidRPr="00A826A1" w:rsidRDefault="00691968" w:rsidP="00691968">
      <w:pPr>
        <w:autoSpaceDE w:val="0"/>
        <w:autoSpaceDN w:val="0"/>
        <w:rPr>
          <w:rFonts w:asciiTheme="majorBidi" w:hAnsiTheme="majorBidi" w:cstheme="majorBidi"/>
        </w:rPr>
      </w:pPr>
      <w:r w:rsidRPr="00A826A1">
        <w:rPr>
          <w:rFonts w:asciiTheme="majorBidi" w:eastAsia="Vazir" w:hAnsiTheme="majorBidi" w:cstheme="majorBidi"/>
          <w:b/>
          <w:color w:val="000000"/>
        </w:rPr>
        <w:t>3.3.1 Socio-Emotional Learning (SEL)</w:t>
      </w:r>
    </w:p>
    <w:p w14:paraId="07C2E810" w14:textId="77777777" w:rsidR="00691968" w:rsidRDefault="00691968" w:rsidP="00691968">
      <w:pPr>
        <w:autoSpaceDE w:val="0"/>
        <w:autoSpaceDN w:val="0"/>
        <w:jc w:val="both"/>
        <w:rPr>
          <w:rFonts w:asciiTheme="majorBidi" w:eastAsia="Vazir" w:hAnsiTheme="majorBidi" w:cstheme="majorBidi"/>
          <w:color w:val="000000"/>
        </w:rPr>
      </w:pPr>
      <w:r w:rsidRPr="00A826A1">
        <w:rPr>
          <w:rFonts w:asciiTheme="majorBidi" w:eastAsia="Vazir" w:hAnsiTheme="majorBidi" w:cstheme="majorBidi"/>
          <w:color w:val="000000"/>
        </w:rPr>
        <w:t>SEL frameworks, supported by recent longitudinal studies, demonstrate that competencies like self-awareness, responsible decision-making, and relationship skills are not peripheral but foundational to academic success [17]. For instance, Pekrun's work on achievement emotions shows that enjoyment and pride enhance cognitive engagement, while high anxiety or boredom impedes it [18].</w:t>
      </w:r>
    </w:p>
    <w:p w14:paraId="552A0FC3" w14:textId="77777777" w:rsidR="00D12965" w:rsidRPr="00A826A1" w:rsidRDefault="00D12965" w:rsidP="00691968">
      <w:pPr>
        <w:autoSpaceDE w:val="0"/>
        <w:autoSpaceDN w:val="0"/>
        <w:jc w:val="both"/>
        <w:rPr>
          <w:rFonts w:asciiTheme="majorBidi" w:hAnsiTheme="majorBidi" w:cstheme="majorBidi"/>
        </w:rPr>
      </w:pPr>
    </w:p>
    <w:p w14:paraId="5B4D69D4" w14:textId="77777777" w:rsidR="00691968" w:rsidRPr="00A826A1" w:rsidRDefault="00691968" w:rsidP="00691968">
      <w:pPr>
        <w:autoSpaceDE w:val="0"/>
        <w:autoSpaceDN w:val="0"/>
        <w:rPr>
          <w:rFonts w:asciiTheme="majorBidi" w:hAnsiTheme="majorBidi" w:cstheme="majorBidi"/>
        </w:rPr>
      </w:pPr>
      <w:r w:rsidRPr="00A826A1">
        <w:rPr>
          <w:rFonts w:asciiTheme="majorBidi" w:eastAsia="Vazir" w:hAnsiTheme="majorBidi" w:cstheme="majorBidi"/>
          <w:b/>
          <w:color w:val="000000"/>
        </w:rPr>
        <w:t>3.3.2 Sense of Belonging and Teacher Relationships</w:t>
      </w:r>
    </w:p>
    <w:p w14:paraId="43E1D6D0" w14:textId="77777777" w:rsidR="00691968" w:rsidRDefault="00691968" w:rsidP="00691968">
      <w:pPr>
        <w:autoSpaceDE w:val="0"/>
        <w:autoSpaceDN w:val="0"/>
        <w:jc w:val="both"/>
        <w:rPr>
          <w:rFonts w:asciiTheme="majorBidi" w:eastAsia="Vazir" w:hAnsiTheme="majorBidi" w:cstheme="majorBidi"/>
          <w:color w:val="000000"/>
        </w:rPr>
      </w:pPr>
      <w:r w:rsidRPr="00A826A1">
        <w:rPr>
          <w:rFonts w:asciiTheme="majorBidi" w:eastAsia="Vazir" w:hAnsiTheme="majorBidi" w:cstheme="majorBidi"/>
          <w:color w:val="000000"/>
        </w:rPr>
        <w:t>The psychological need for relatedness (SDT) is materialized in the student’s sense of belonging within the classroom [19]. Students who feel connected to their peers and teachers are more likely to persist through difficult tasks and engage in help-seeking behavior. In diverse educational settings, cultural validation of student identities further enhances this sense of belonging, which is a prerequisite for optimal cognitive engagement [19].</w:t>
      </w:r>
    </w:p>
    <w:p w14:paraId="52CCE60C" w14:textId="77777777" w:rsidR="00D12965" w:rsidRPr="00A826A1" w:rsidRDefault="00D12965" w:rsidP="00691968">
      <w:pPr>
        <w:autoSpaceDE w:val="0"/>
        <w:autoSpaceDN w:val="0"/>
        <w:jc w:val="both"/>
        <w:rPr>
          <w:rFonts w:asciiTheme="majorBidi" w:hAnsiTheme="majorBidi" w:cstheme="majorBidi"/>
        </w:rPr>
      </w:pPr>
    </w:p>
    <w:p w14:paraId="49FAB983" w14:textId="77777777" w:rsidR="00691968" w:rsidRPr="00A826A1" w:rsidRDefault="00691968" w:rsidP="00691968">
      <w:pPr>
        <w:autoSpaceDE w:val="0"/>
        <w:autoSpaceDN w:val="0"/>
        <w:rPr>
          <w:rFonts w:asciiTheme="majorBidi" w:hAnsiTheme="majorBidi" w:cstheme="majorBidi"/>
          <w:sz w:val="22"/>
          <w:szCs w:val="22"/>
        </w:rPr>
      </w:pPr>
      <w:r w:rsidRPr="00A826A1">
        <w:rPr>
          <w:rFonts w:asciiTheme="majorBidi" w:eastAsia="Vazir" w:hAnsiTheme="majorBidi" w:cstheme="majorBidi"/>
          <w:b/>
          <w:color w:val="000000"/>
          <w:sz w:val="22"/>
          <w:szCs w:val="22"/>
        </w:rPr>
        <w:t>4. Discussion</w:t>
      </w:r>
    </w:p>
    <w:p w14:paraId="32ABA929" w14:textId="77777777" w:rsidR="00691968" w:rsidRDefault="00691968" w:rsidP="00691968">
      <w:pPr>
        <w:autoSpaceDE w:val="0"/>
        <w:autoSpaceDN w:val="0"/>
        <w:jc w:val="both"/>
        <w:rPr>
          <w:rFonts w:asciiTheme="majorBidi" w:eastAsia="Vazir" w:hAnsiTheme="majorBidi" w:cstheme="majorBidi"/>
          <w:color w:val="000000"/>
        </w:rPr>
      </w:pPr>
      <w:r w:rsidRPr="00A826A1">
        <w:rPr>
          <w:rFonts w:asciiTheme="majorBidi" w:eastAsia="Vazir" w:hAnsiTheme="majorBidi" w:cstheme="majorBidi"/>
          <w:color w:val="000000"/>
        </w:rPr>
        <w:t>Integrating psychological principles into education requires balancing theoretical rigor with contextual relevance [20]. The major challenge facing contemporary education systems is not a lack of theory, but a persistent gap between psychological knowledge and policy implementation.</w:t>
      </w:r>
    </w:p>
    <w:p w14:paraId="011D9EA8" w14:textId="77777777" w:rsidR="00D12965" w:rsidRPr="00A826A1" w:rsidRDefault="00D12965" w:rsidP="00691968">
      <w:pPr>
        <w:autoSpaceDE w:val="0"/>
        <w:autoSpaceDN w:val="0"/>
        <w:jc w:val="both"/>
        <w:rPr>
          <w:rFonts w:asciiTheme="majorBidi" w:hAnsiTheme="majorBidi" w:cstheme="majorBidi"/>
        </w:rPr>
      </w:pPr>
    </w:p>
    <w:p w14:paraId="7E856A2D" w14:textId="77777777" w:rsidR="00691968" w:rsidRPr="00A826A1" w:rsidRDefault="00691968" w:rsidP="00691968">
      <w:pPr>
        <w:autoSpaceDE w:val="0"/>
        <w:autoSpaceDN w:val="0"/>
        <w:rPr>
          <w:rFonts w:asciiTheme="majorBidi" w:hAnsiTheme="majorBidi" w:cstheme="majorBidi"/>
        </w:rPr>
      </w:pPr>
      <w:r w:rsidRPr="00A826A1">
        <w:rPr>
          <w:rFonts w:asciiTheme="majorBidi" w:eastAsia="Vazir" w:hAnsiTheme="majorBidi" w:cstheme="majorBidi"/>
          <w:b/>
          <w:color w:val="000000"/>
        </w:rPr>
        <w:t>4.1 The Challenge of Contextualizing Theory</w:t>
      </w:r>
    </w:p>
    <w:p w14:paraId="5F4729D8" w14:textId="45708D15" w:rsidR="00691968" w:rsidRDefault="00691968" w:rsidP="00691968">
      <w:pPr>
        <w:autoSpaceDE w:val="0"/>
        <w:autoSpaceDN w:val="0"/>
        <w:jc w:val="both"/>
        <w:rPr>
          <w:rFonts w:asciiTheme="majorBidi" w:eastAsia="Vazir" w:hAnsiTheme="majorBidi" w:cstheme="majorBidi"/>
          <w:color w:val="000000"/>
        </w:rPr>
      </w:pPr>
      <w:r w:rsidRPr="00A826A1">
        <w:rPr>
          <w:rFonts w:asciiTheme="majorBidi" w:eastAsia="Vazir" w:hAnsiTheme="majorBidi" w:cstheme="majorBidi"/>
          <w:color w:val="000000"/>
        </w:rPr>
        <w:t>While constructivism advocates for active meaning-making, real-world constraints such as overcrowded classrooms, rigid curricula, and pressures for measurable standardized outcomes often force a regression toward didactic, transmission-based teaching methods. This results in an instructionally shallow environment that fails to nurture the complex skills</w:t>
      </w:r>
      <w:r w:rsidR="001008A5">
        <w:rPr>
          <w:rFonts w:asciiTheme="majorBidi" w:eastAsia="Liberation Sans" w:hAnsiTheme="majorBidi" w:cstheme="majorBidi"/>
          <w:color w:val="000000"/>
        </w:rPr>
        <w:t>-</w:t>
      </w:r>
      <w:r w:rsidRPr="00A826A1">
        <w:rPr>
          <w:rFonts w:asciiTheme="majorBidi" w:eastAsia="Vazir" w:hAnsiTheme="majorBidi" w:cstheme="majorBidi"/>
          <w:color w:val="000000"/>
        </w:rPr>
        <w:t xml:space="preserve">such as critical analysis and </w:t>
      </w:r>
      <w:r w:rsidR="00267703">
        <w:rPr>
          <w:rFonts w:asciiTheme="majorBidi" w:eastAsia="Vazir" w:hAnsiTheme="majorBidi" w:cstheme="majorBidi"/>
          <w:color w:val="000000"/>
        </w:rPr>
        <w:t>self-regulation</w:t>
      </w:r>
      <w:r w:rsidRPr="00A826A1">
        <w:rPr>
          <w:rFonts w:asciiTheme="majorBidi" w:eastAsia="Vazir" w:hAnsiTheme="majorBidi" w:cstheme="majorBidi"/>
          <w:color w:val="000000"/>
        </w:rPr>
        <w:t xml:space="preserve"> psychological science has shown to be essential for lifelong learning [20].</w:t>
      </w:r>
    </w:p>
    <w:p w14:paraId="37A7D3CA" w14:textId="77777777" w:rsidR="00D12965" w:rsidRPr="00A826A1" w:rsidRDefault="00D12965" w:rsidP="00691968">
      <w:pPr>
        <w:autoSpaceDE w:val="0"/>
        <w:autoSpaceDN w:val="0"/>
        <w:jc w:val="both"/>
        <w:rPr>
          <w:rFonts w:asciiTheme="majorBidi" w:hAnsiTheme="majorBidi" w:cstheme="majorBidi"/>
        </w:rPr>
      </w:pPr>
    </w:p>
    <w:p w14:paraId="481D3A14" w14:textId="77777777" w:rsidR="00691968" w:rsidRPr="00A826A1" w:rsidRDefault="00691968" w:rsidP="00691968">
      <w:pPr>
        <w:autoSpaceDE w:val="0"/>
        <w:autoSpaceDN w:val="0"/>
        <w:rPr>
          <w:rFonts w:asciiTheme="majorBidi" w:hAnsiTheme="majorBidi" w:cstheme="majorBidi"/>
        </w:rPr>
      </w:pPr>
      <w:r w:rsidRPr="00A826A1">
        <w:rPr>
          <w:rFonts w:asciiTheme="majorBidi" w:eastAsia="Vazir" w:hAnsiTheme="majorBidi" w:cstheme="majorBidi"/>
          <w:b/>
          <w:color w:val="000000"/>
        </w:rPr>
        <w:t>4.2 The Autonomy-Control Paradox</w:t>
      </w:r>
    </w:p>
    <w:p w14:paraId="2449FFB6" w14:textId="77777777" w:rsidR="00691968" w:rsidRDefault="00691968" w:rsidP="00691968">
      <w:pPr>
        <w:autoSpaceDE w:val="0"/>
        <w:autoSpaceDN w:val="0"/>
        <w:jc w:val="both"/>
        <w:rPr>
          <w:rFonts w:asciiTheme="majorBidi" w:eastAsia="Vazir" w:hAnsiTheme="majorBidi" w:cstheme="majorBidi"/>
          <w:color w:val="000000"/>
        </w:rPr>
      </w:pPr>
      <w:r w:rsidRPr="00A826A1">
        <w:rPr>
          <w:rFonts w:asciiTheme="majorBidi" w:eastAsia="Vazir" w:hAnsiTheme="majorBidi" w:cstheme="majorBidi"/>
          <w:color w:val="000000"/>
        </w:rPr>
        <w:t>A significant tension exists regarding learner agency. Educational policy often seeks to enhance learner motivation by offering choices (addressing autonomy), yet accountability measures often impose rigid external controls (e.g., prescriptive pacing guides, high-stakes testing), which are known to undermine intrinsic motivation [22]. Sustainable educational reform requires policies that genuinely empower teachers to use professional judgment and foster student self-regulation rather than merely adopting superficial elements of student-centered pedagogy.</w:t>
      </w:r>
    </w:p>
    <w:p w14:paraId="63533381" w14:textId="77777777" w:rsidR="00D12965" w:rsidRPr="00A826A1" w:rsidRDefault="00D12965" w:rsidP="00691968">
      <w:pPr>
        <w:autoSpaceDE w:val="0"/>
        <w:autoSpaceDN w:val="0"/>
        <w:jc w:val="both"/>
        <w:rPr>
          <w:rFonts w:asciiTheme="majorBidi" w:hAnsiTheme="majorBidi" w:cstheme="majorBidi"/>
        </w:rPr>
      </w:pPr>
    </w:p>
    <w:p w14:paraId="45E3B8EA" w14:textId="77777777" w:rsidR="00691968" w:rsidRPr="00A826A1" w:rsidRDefault="00691968" w:rsidP="00691968">
      <w:pPr>
        <w:autoSpaceDE w:val="0"/>
        <w:autoSpaceDN w:val="0"/>
        <w:rPr>
          <w:rFonts w:asciiTheme="majorBidi" w:hAnsiTheme="majorBidi" w:cstheme="majorBidi"/>
        </w:rPr>
      </w:pPr>
      <w:r w:rsidRPr="00A826A1">
        <w:rPr>
          <w:rFonts w:asciiTheme="majorBidi" w:eastAsia="Vazir" w:hAnsiTheme="majorBidi" w:cstheme="majorBidi"/>
          <w:b/>
          <w:color w:val="000000"/>
        </w:rPr>
        <w:t>4.3 Bridging Cognitive Science and Practice</w:t>
      </w:r>
    </w:p>
    <w:p w14:paraId="4C39D401" w14:textId="5A362E1D" w:rsidR="00691968" w:rsidRPr="00A826A1" w:rsidRDefault="00691968" w:rsidP="00691968">
      <w:pPr>
        <w:autoSpaceDE w:val="0"/>
        <w:autoSpaceDN w:val="0"/>
        <w:jc w:val="both"/>
        <w:rPr>
          <w:rFonts w:asciiTheme="majorBidi" w:hAnsiTheme="majorBidi" w:cstheme="majorBidi"/>
        </w:rPr>
      </w:pPr>
      <w:r w:rsidRPr="00A826A1">
        <w:rPr>
          <w:rFonts w:asciiTheme="majorBidi" w:eastAsia="Vazir" w:hAnsiTheme="majorBidi" w:cstheme="majorBidi"/>
          <w:color w:val="000000"/>
        </w:rPr>
        <w:t>Recent advancements in cognitive neuroscience and learning analytics (2019</w:t>
      </w:r>
      <w:r w:rsidRPr="00A826A1">
        <w:rPr>
          <w:rFonts w:asciiTheme="majorBidi" w:eastAsia="Liberation Sans" w:hAnsiTheme="majorBidi" w:cstheme="majorBidi"/>
          <w:color w:val="000000"/>
        </w:rPr>
        <w:t>–</w:t>
      </w:r>
      <w:r w:rsidRPr="00A826A1">
        <w:rPr>
          <w:rFonts w:asciiTheme="majorBidi" w:eastAsia="Vazir" w:hAnsiTheme="majorBidi" w:cstheme="majorBidi"/>
          <w:color w:val="000000"/>
        </w:rPr>
        <w:t>2025) offer further precision. For example, understanding the mechanism of retrieval practice</w:t>
      </w:r>
      <w:r w:rsidR="001008A5">
        <w:rPr>
          <w:rFonts w:asciiTheme="majorBidi" w:eastAsia="Liberation Sans" w:hAnsiTheme="majorBidi" w:cstheme="majorBidi"/>
          <w:color w:val="000000"/>
        </w:rPr>
        <w:t>-</w:t>
      </w:r>
      <w:r w:rsidRPr="00A826A1">
        <w:rPr>
          <w:rFonts w:asciiTheme="majorBidi" w:eastAsia="Vazir" w:hAnsiTheme="majorBidi" w:cstheme="majorBidi"/>
          <w:color w:val="000000"/>
        </w:rPr>
        <w:t xml:space="preserve">the act of actively recalling information rather than rereading </w:t>
      </w:r>
      <w:r w:rsidR="00267703">
        <w:rPr>
          <w:rFonts w:asciiTheme="majorBidi" w:eastAsia="Vazir" w:hAnsiTheme="majorBidi" w:cstheme="majorBidi"/>
          <w:color w:val="000000"/>
        </w:rPr>
        <w:t>provides</w:t>
      </w:r>
      <w:r w:rsidRPr="00A826A1">
        <w:rPr>
          <w:rFonts w:asciiTheme="majorBidi" w:eastAsia="Vazir" w:hAnsiTheme="majorBidi" w:cstheme="majorBidi"/>
          <w:color w:val="000000"/>
        </w:rPr>
        <w:t xml:space="preserve"> an evidence-based technique to strengthen long-term memory storage, moving beyond general concepts of "studying better" to specific, verifiable cognitive interventions [1, 23].</w:t>
      </w:r>
    </w:p>
    <w:p w14:paraId="3381023C" w14:textId="77777777" w:rsidR="00D12965" w:rsidRDefault="00691968" w:rsidP="00691968">
      <w:pPr>
        <w:autoSpaceDE w:val="0"/>
        <w:autoSpaceDN w:val="0"/>
        <w:jc w:val="both"/>
        <w:rPr>
          <w:rFonts w:asciiTheme="majorBidi" w:eastAsia="Vazir" w:hAnsiTheme="majorBidi" w:cstheme="majorBidi"/>
          <w:color w:val="000000"/>
        </w:rPr>
      </w:pPr>
      <w:r w:rsidRPr="00A826A1">
        <w:rPr>
          <w:rFonts w:asciiTheme="majorBidi" w:eastAsia="Vazir" w:hAnsiTheme="majorBidi" w:cstheme="majorBidi"/>
          <w:color w:val="000000"/>
        </w:rPr>
        <w:t>A synthesis of empirical evidence suggests that effective education systems adopt multilayered frameworks that integrate cognitive demands with emotional support and ethical development [23]. The OECD’s focus on future-ready</w:t>
      </w:r>
    </w:p>
    <w:p w14:paraId="5BC03786" w14:textId="77777777" w:rsidR="00D12965" w:rsidRDefault="00D12965" w:rsidP="00691968">
      <w:pPr>
        <w:autoSpaceDE w:val="0"/>
        <w:autoSpaceDN w:val="0"/>
        <w:jc w:val="both"/>
        <w:rPr>
          <w:rFonts w:asciiTheme="majorBidi" w:eastAsia="Vazir" w:hAnsiTheme="majorBidi" w:cstheme="majorBidi"/>
          <w:color w:val="000000"/>
        </w:rPr>
      </w:pPr>
    </w:p>
    <w:p w14:paraId="58B73989" w14:textId="77777777" w:rsidR="00D12965" w:rsidRDefault="00D12965" w:rsidP="00691968">
      <w:pPr>
        <w:autoSpaceDE w:val="0"/>
        <w:autoSpaceDN w:val="0"/>
        <w:jc w:val="both"/>
        <w:rPr>
          <w:rFonts w:asciiTheme="majorBidi" w:eastAsia="Vazir" w:hAnsiTheme="majorBidi" w:cstheme="majorBidi"/>
          <w:color w:val="000000"/>
        </w:rPr>
      </w:pPr>
    </w:p>
    <w:p w14:paraId="5E05B711" w14:textId="77777777" w:rsidR="00D12965" w:rsidRDefault="00D12965" w:rsidP="00691968">
      <w:pPr>
        <w:autoSpaceDE w:val="0"/>
        <w:autoSpaceDN w:val="0"/>
        <w:jc w:val="both"/>
        <w:rPr>
          <w:rFonts w:asciiTheme="majorBidi" w:eastAsia="Vazir" w:hAnsiTheme="majorBidi" w:cstheme="majorBidi"/>
          <w:color w:val="000000"/>
        </w:rPr>
      </w:pPr>
    </w:p>
    <w:p w14:paraId="618712E3" w14:textId="7AA15C9D" w:rsidR="00691968" w:rsidRDefault="00267703" w:rsidP="00691968">
      <w:pPr>
        <w:autoSpaceDE w:val="0"/>
        <w:autoSpaceDN w:val="0"/>
        <w:jc w:val="both"/>
        <w:rPr>
          <w:rFonts w:asciiTheme="majorBidi" w:eastAsia="Vazir" w:hAnsiTheme="majorBidi" w:cstheme="majorBidi"/>
          <w:color w:val="000000"/>
        </w:rPr>
      </w:pPr>
      <w:r>
        <w:rPr>
          <w:rFonts w:asciiTheme="majorBidi" w:eastAsia="Vazir" w:hAnsiTheme="majorBidi" w:cstheme="majorBidi"/>
          <w:color w:val="000000"/>
        </w:rPr>
        <w:t>Competencies</w:t>
      </w:r>
      <w:r w:rsidR="00691968" w:rsidRPr="00A826A1">
        <w:rPr>
          <w:rFonts w:asciiTheme="majorBidi" w:eastAsia="Vazir" w:hAnsiTheme="majorBidi" w:cstheme="majorBidi"/>
          <w:color w:val="000000"/>
        </w:rPr>
        <w:t xml:space="preserve"> </w:t>
      </w:r>
      <w:r>
        <w:rPr>
          <w:rFonts w:asciiTheme="majorBidi" w:eastAsia="Vazir" w:hAnsiTheme="majorBidi" w:cstheme="majorBidi"/>
          <w:color w:val="000000"/>
        </w:rPr>
        <w:t>align</w:t>
      </w:r>
      <w:r w:rsidR="00691968" w:rsidRPr="00A826A1">
        <w:rPr>
          <w:rFonts w:asciiTheme="majorBidi" w:eastAsia="Vazir" w:hAnsiTheme="majorBidi" w:cstheme="majorBidi"/>
          <w:color w:val="000000"/>
        </w:rPr>
        <w:t xml:space="preserve"> precisely with psychological models that emphasize metacognition, persistence, and adaptive expertise, rather than mere content mastery [21].</w:t>
      </w:r>
    </w:p>
    <w:p w14:paraId="4FAE421A" w14:textId="77777777" w:rsidR="00D12965" w:rsidRPr="00A826A1" w:rsidRDefault="00D12965" w:rsidP="00691968">
      <w:pPr>
        <w:autoSpaceDE w:val="0"/>
        <w:autoSpaceDN w:val="0"/>
        <w:jc w:val="both"/>
        <w:rPr>
          <w:rFonts w:asciiTheme="majorBidi" w:eastAsia="Vazir" w:hAnsiTheme="majorBidi" w:cstheme="majorBidi"/>
          <w:color w:val="000000"/>
        </w:rPr>
      </w:pPr>
    </w:p>
    <w:p w14:paraId="15EC7738" w14:textId="77777777" w:rsidR="00691968" w:rsidRPr="00A826A1" w:rsidRDefault="00691968" w:rsidP="00691968">
      <w:pPr>
        <w:autoSpaceDE w:val="0"/>
        <w:autoSpaceDN w:val="0"/>
        <w:rPr>
          <w:rFonts w:asciiTheme="majorBidi" w:hAnsiTheme="majorBidi" w:cstheme="majorBidi"/>
          <w:sz w:val="22"/>
          <w:szCs w:val="22"/>
        </w:rPr>
      </w:pPr>
      <w:r w:rsidRPr="00A826A1">
        <w:rPr>
          <w:rFonts w:asciiTheme="majorBidi" w:eastAsia="Vazir" w:hAnsiTheme="majorBidi" w:cstheme="majorBidi"/>
          <w:b/>
          <w:color w:val="000000"/>
          <w:sz w:val="22"/>
          <w:szCs w:val="22"/>
        </w:rPr>
        <w:t>5. Conclusion</w:t>
      </w:r>
    </w:p>
    <w:p w14:paraId="2BA65046" w14:textId="436DEB81" w:rsidR="00691968" w:rsidRDefault="00691968" w:rsidP="00691968">
      <w:pPr>
        <w:autoSpaceDE w:val="0"/>
        <w:autoSpaceDN w:val="0"/>
        <w:jc w:val="both"/>
        <w:rPr>
          <w:rFonts w:asciiTheme="majorBidi" w:eastAsia="Vazir" w:hAnsiTheme="majorBidi" w:cstheme="majorBidi"/>
          <w:color w:val="000000"/>
        </w:rPr>
      </w:pPr>
      <w:r w:rsidRPr="00A826A1">
        <w:rPr>
          <w:rFonts w:asciiTheme="majorBidi" w:eastAsia="Vazir" w:hAnsiTheme="majorBidi" w:cstheme="majorBidi"/>
          <w:color w:val="000000"/>
        </w:rPr>
        <w:t>This review has demonstrated that the psychological foundations of education</w:t>
      </w:r>
      <w:r w:rsidR="00436057">
        <w:rPr>
          <w:rFonts w:asciiTheme="majorBidi" w:eastAsia="Liberation Sans" w:hAnsiTheme="majorBidi" w:cstheme="majorBidi"/>
          <w:color w:val="000000"/>
        </w:rPr>
        <w:t>-</w:t>
      </w:r>
      <w:r w:rsidRPr="00A826A1">
        <w:rPr>
          <w:rFonts w:asciiTheme="majorBidi" w:eastAsia="Vazir" w:hAnsiTheme="majorBidi" w:cstheme="majorBidi"/>
          <w:color w:val="000000"/>
        </w:rPr>
        <w:t>from behaviorist scaffolding to the humanistic emphasis on autonomy</w:t>
      </w:r>
      <w:r w:rsidR="00436057">
        <w:rPr>
          <w:rFonts w:asciiTheme="majorBidi" w:eastAsia="Liberation Sans" w:hAnsiTheme="majorBidi" w:cstheme="majorBidi"/>
          <w:color w:val="000000"/>
        </w:rPr>
        <w:t>-</w:t>
      </w:r>
      <w:r w:rsidRPr="00A826A1">
        <w:rPr>
          <w:rFonts w:asciiTheme="majorBidi" w:eastAsia="Vazir" w:hAnsiTheme="majorBidi" w:cstheme="majorBidi"/>
          <w:color w:val="000000"/>
        </w:rPr>
        <w:t xml:space="preserve">provide essential insights for building responsive and equitable systems. The convergence of cognitive science, motivation theory (particularly SDT), and socio-emotional learning fosters environments where both achievement and well-being thrive. The path forward for educational reform must prioritize evidence-based policies that cultivate teachers’ psychological literacy and </w:t>
      </w:r>
      <w:r w:rsidR="00267703">
        <w:rPr>
          <w:rFonts w:asciiTheme="majorBidi" w:eastAsia="Vazir" w:hAnsiTheme="majorBidi" w:cstheme="majorBidi"/>
          <w:color w:val="000000"/>
        </w:rPr>
        <w:t>agency</w:t>
      </w:r>
      <w:r w:rsidRPr="00A826A1">
        <w:rPr>
          <w:rFonts w:asciiTheme="majorBidi" w:eastAsia="Vazir" w:hAnsiTheme="majorBidi" w:cstheme="majorBidi"/>
          <w:color w:val="000000"/>
        </w:rPr>
        <w:t>. Future research should continue to explore how technology can be leveraged to support individual psychological needs (autonomy, competence, relatedness) at scale without sacrificing the richness of human interaction essential for developmental growth [23].</w:t>
      </w:r>
    </w:p>
    <w:p w14:paraId="6368DC4A" w14:textId="77777777" w:rsidR="00D12965" w:rsidRPr="00A826A1" w:rsidRDefault="00D12965" w:rsidP="00691968">
      <w:pPr>
        <w:autoSpaceDE w:val="0"/>
        <w:autoSpaceDN w:val="0"/>
        <w:jc w:val="both"/>
        <w:rPr>
          <w:rFonts w:asciiTheme="majorBidi" w:hAnsiTheme="majorBidi" w:cstheme="majorBidi"/>
        </w:rPr>
      </w:pPr>
    </w:p>
    <w:p w14:paraId="2662585C" w14:textId="77777777" w:rsidR="00691968" w:rsidRPr="00A826A1" w:rsidRDefault="00691968" w:rsidP="00691968">
      <w:pPr>
        <w:autoSpaceDE w:val="0"/>
        <w:autoSpaceDN w:val="0"/>
        <w:rPr>
          <w:rFonts w:asciiTheme="majorBidi" w:hAnsiTheme="majorBidi" w:cstheme="majorBidi"/>
          <w:sz w:val="22"/>
          <w:szCs w:val="22"/>
        </w:rPr>
      </w:pPr>
      <w:r w:rsidRPr="00A826A1">
        <w:rPr>
          <w:rFonts w:asciiTheme="majorBidi" w:eastAsia="Vazir" w:hAnsiTheme="majorBidi" w:cstheme="majorBidi"/>
          <w:b/>
          <w:color w:val="000000"/>
          <w:sz w:val="22"/>
          <w:szCs w:val="22"/>
        </w:rPr>
        <w:t>References</w:t>
      </w:r>
    </w:p>
    <w:p w14:paraId="25E48D7A" w14:textId="77777777" w:rsidR="00691968" w:rsidRPr="00A826A1" w:rsidRDefault="00691968" w:rsidP="00691968">
      <w:pPr>
        <w:autoSpaceDE w:val="0"/>
        <w:autoSpaceDN w:val="0"/>
        <w:jc w:val="both"/>
        <w:rPr>
          <w:rFonts w:asciiTheme="majorBidi" w:eastAsia="Vazir" w:hAnsiTheme="majorBidi" w:cstheme="majorBidi"/>
          <w:color w:val="000000"/>
        </w:rPr>
      </w:pPr>
      <w:r w:rsidRPr="00A826A1">
        <w:rPr>
          <w:rFonts w:asciiTheme="majorBidi" w:eastAsia="Vazir" w:hAnsiTheme="majorBidi" w:cstheme="majorBidi"/>
          <w:color w:val="000000"/>
        </w:rPr>
        <w:t xml:space="preserve">[1] Woolfolk, A. (2020). Educational Psychology. Pearson Education. </w:t>
      </w:r>
    </w:p>
    <w:p w14:paraId="4C1442CF" w14:textId="77777777" w:rsidR="00691968" w:rsidRPr="00A826A1" w:rsidRDefault="00691968" w:rsidP="00691968">
      <w:pPr>
        <w:autoSpaceDE w:val="0"/>
        <w:autoSpaceDN w:val="0"/>
        <w:jc w:val="both"/>
        <w:rPr>
          <w:rFonts w:asciiTheme="majorBidi" w:eastAsia="Vazir" w:hAnsiTheme="majorBidi" w:cstheme="majorBidi"/>
          <w:color w:val="000000"/>
        </w:rPr>
      </w:pPr>
      <w:r w:rsidRPr="00A826A1">
        <w:rPr>
          <w:rFonts w:asciiTheme="majorBidi" w:eastAsia="Vazir" w:hAnsiTheme="majorBidi" w:cstheme="majorBidi"/>
          <w:color w:val="000000"/>
        </w:rPr>
        <w:t xml:space="preserve">[2] Santrock, J. W. (2019). Educational Psychology (6th ed.). McGraw-Hill. </w:t>
      </w:r>
    </w:p>
    <w:p w14:paraId="4053CF99" w14:textId="77777777" w:rsidR="00691968" w:rsidRPr="00A826A1" w:rsidRDefault="00691968" w:rsidP="00691968">
      <w:pPr>
        <w:autoSpaceDE w:val="0"/>
        <w:autoSpaceDN w:val="0"/>
        <w:jc w:val="both"/>
        <w:rPr>
          <w:rFonts w:asciiTheme="majorBidi" w:eastAsia="Vazir" w:hAnsiTheme="majorBidi" w:cstheme="majorBidi"/>
          <w:color w:val="000000"/>
        </w:rPr>
      </w:pPr>
      <w:r w:rsidRPr="00A826A1">
        <w:rPr>
          <w:rFonts w:asciiTheme="majorBidi" w:eastAsia="Vazir" w:hAnsiTheme="majorBidi" w:cstheme="majorBidi"/>
          <w:color w:val="000000"/>
        </w:rPr>
        <w:t xml:space="preserve">[3] Skinner, B. F. (1953). Science and Human Behavior. Macmillan. </w:t>
      </w:r>
    </w:p>
    <w:p w14:paraId="6A4FF699" w14:textId="77777777" w:rsidR="00691968" w:rsidRPr="00A826A1" w:rsidRDefault="00691968" w:rsidP="00691968">
      <w:pPr>
        <w:autoSpaceDE w:val="0"/>
        <w:autoSpaceDN w:val="0"/>
        <w:jc w:val="both"/>
        <w:rPr>
          <w:rFonts w:asciiTheme="majorBidi" w:eastAsia="Vazir" w:hAnsiTheme="majorBidi" w:cstheme="majorBidi"/>
          <w:color w:val="000000"/>
        </w:rPr>
      </w:pPr>
      <w:r w:rsidRPr="00A826A1">
        <w:rPr>
          <w:rFonts w:asciiTheme="majorBidi" w:eastAsia="Vazir" w:hAnsiTheme="majorBidi" w:cstheme="majorBidi"/>
          <w:color w:val="000000"/>
        </w:rPr>
        <w:t xml:space="preserve">[4] Slavin, R. E. (2020). Educational Psychology: Theory and Practice. Pearson. </w:t>
      </w:r>
    </w:p>
    <w:p w14:paraId="18B43981" w14:textId="77777777" w:rsidR="00691968" w:rsidRPr="00A826A1" w:rsidRDefault="00691968" w:rsidP="00691968">
      <w:pPr>
        <w:autoSpaceDE w:val="0"/>
        <w:autoSpaceDN w:val="0"/>
        <w:jc w:val="both"/>
        <w:rPr>
          <w:rFonts w:asciiTheme="majorBidi" w:eastAsia="Vazir" w:hAnsiTheme="majorBidi" w:cstheme="majorBidi"/>
          <w:color w:val="000000"/>
        </w:rPr>
      </w:pPr>
      <w:r w:rsidRPr="00A826A1">
        <w:rPr>
          <w:rFonts w:asciiTheme="majorBidi" w:eastAsia="Vazir" w:hAnsiTheme="majorBidi" w:cstheme="majorBidi"/>
          <w:color w:val="000000"/>
        </w:rPr>
        <w:t xml:space="preserve">[5] Piaget, J. (1972). The Psychology of the Child. Basic Books. </w:t>
      </w:r>
    </w:p>
    <w:p w14:paraId="550ECF3F" w14:textId="77777777" w:rsidR="00691968" w:rsidRPr="00A826A1" w:rsidRDefault="00691968" w:rsidP="00691968">
      <w:pPr>
        <w:autoSpaceDE w:val="0"/>
        <w:autoSpaceDN w:val="0"/>
        <w:jc w:val="both"/>
        <w:rPr>
          <w:rFonts w:asciiTheme="majorBidi" w:eastAsia="Vazir" w:hAnsiTheme="majorBidi" w:cstheme="majorBidi"/>
          <w:color w:val="000000"/>
        </w:rPr>
      </w:pPr>
      <w:r w:rsidRPr="00A826A1">
        <w:rPr>
          <w:rFonts w:asciiTheme="majorBidi" w:eastAsia="Vazir" w:hAnsiTheme="majorBidi" w:cstheme="majorBidi"/>
          <w:color w:val="000000"/>
        </w:rPr>
        <w:t xml:space="preserve">[6] Mayer, R. E. (2021). Multimedia Learning (3rd ed.). Cambridge University Press. </w:t>
      </w:r>
    </w:p>
    <w:p w14:paraId="3431855F" w14:textId="77777777" w:rsidR="00691968" w:rsidRPr="00A826A1" w:rsidRDefault="00691968" w:rsidP="00691968">
      <w:pPr>
        <w:autoSpaceDE w:val="0"/>
        <w:autoSpaceDN w:val="0"/>
        <w:jc w:val="both"/>
        <w:rPr>
          <w:rFonts w:asciiTheme="majorBidi" w:eastAsia="Vazir" w:hAnsiTheme="majorBidi" w:cstheme="majorBidi"/>
          <w:color w:val="000000"/>
        </w:rPr>
      </w:pPr>
      <w:r w:rsidRPr="00A826A1">
        <w:rPr>
          <w:rFonts w:asciiTheme="majorBidi" w:eastAsia="Vazir" w:hAnsiTheme="majorBidi" w:cstheme="majorBidi"/>
          <w:color w:val="000000"/>
        </w:rPr>
        <w:t xml:space="preserve">[7] Vygotsky, L. S. (1978). Mind in Society. Harvard University Press. </w:t>
      </w:r>
    </w:p>
    <w:p w14:paraId="6AD64D0C" w14:textId="77777777" w:rsidR="00691968" w:rsidRPr="00A826A1" w:rsidRDefault="00691968" w:rsidP="00691968">
      <w:pPr>
        <w:autoSpaceDE w:val="0"/>
        <w:autoSpaceDN w:val="0"/>
        <w:jc w:val="both"/>
        <w:rPr>
          <w:rFonts w:asciiTheme="majorBidi" w:eastAsia="Vazir" w:hAnsiTheme="majorBidi" w:cstheme="majorBidi"/>
          <w:color w:val="000000"/>
        </w:rPr>
      </w:pPr>
      <w:r w:rsidRPr="00A826A1">
        <w:rPr>
          <w:rFonts w:asciiTheme="majorBidi" w:eastAsia="Vazir" w:hAnsiTheme="majorBidi" w:cstheme="majorBidi"/>
          <w:color w:val="000000"/>
        </w:rPr>
        <w:t>[8] Maslow, A. H. (1970). Motivation and Personality. Harper &amp; Row.</w:t>
      </w:r>
    </w:p>
    <w:p w14:paraId="3A56C6C3" w14:textId="0B5DABB2" w:rsidR="00691968" w:rsidRPr="00A826A1" w:rsidRDefault="00691968" w:rsidP="00691968">
      <w:pPr>
        <w:autoSpaceDE w:val="0"/>
        <w:autoSpaceDN w:val="0"/>
        <w:jc w:val="both"/>
        <w:rPr>
          <w:rFonts w:asciiTheme="majorBidi" w:eastAsia="Vazir" w:hAnsiTheme="majorBidi" w:cstheme="majorBidi"/>
          <w:color w:val="000000"/>
        </w:rPr>
      </w:pPr>
      <w:r w:rsidRPr="00A826A1">
        <w:rPr>
          <w:rFonts w:asciiTheme="majorBidi" w:eastAsia="Vazir" w:hAnsiTheme="majorBidi" w:cstheme="majorBidi"/>
          <w:color w:val="000000"/>
        </w:rPr>
        <w:t xml:space="preserve"> [9] Ryan, R. M., &amp; Deci, E. L. (2020). Self- </w:t>
      </w:r>
      <w:r w:rsidR="00267703">
        <w:rPr>
          <w:rFonts w:asciiTheme="majorBidi" w:eastAsia="Vazir" w:hAnsiTheme="majorBidi" w:cstheme="majorBidi"/>
          <w:color w:val="000000"/>
        </w:rPr>
        <w:t>Self-Determination</w:t>
      </w:r>
      <w:r w:rsidRPr="00A826A1">
        <w:rPr>
          <w:rFonts w:asciiTheme="majorBidi" w:eastAsia="Vazir" w:hAnsiTheme="majorBidi" w:cstheme="majorBidi"/>
          <w:color w:val="000000"/>
        </w:rPr>
        <w:t xml:space="preserve"> Theory: Basic Psychological Needs in Motivation, Development, and Wellness. Guilford Press. </w:t>
      </w:r>
    </w:p>
    <w:p w14:paraId="2E13F4FE" w14:textId="77777777" w:rsidR="00691968" w:rsidRPr="00A826A1" w:rsidRDefault="00691968" w:rsidP="00691968">
      <w:pPr>
        <w:autoSpaceDE w:val="0"/>
        <w:autoSpaceDN w:val="0"/>
        <w:jc w:val="both"/>
        <w:rPr>
          <w:rFonts w:asciiTheme="majorBidi" w:eastAsia="Vazir" w:hAnsiTheme="majorBidi" w:cstheme="majorBidi"/>
          <w:color w:val="000000"/>
        </w:rPr>
      </w:pPr>
      <w:r w:rsidRPr="00A826A1">
        <w:rPr>
          <w:rFonts w:asciiTheme="majorBidi" w:eastAsia="Vazir" w:hAnsiTheme="majorBidi" w:cstheme="majorBidi"/>
          <w:color w:val="000000"/>
        </w:rPr>
        <w:t xml:space="preserve">[10] Schunk, D. H. (2020). Learning Theories: An Educational Perspective. Pearson. </w:t>
      </w:r>
    </w:p>
    <w:p w14:paraId="4EAA790F" w14:textId="77777777" w:rsidR="00691968" w:rsidRPr="00A826A1" w:rsidRDefault="00691968" w:rsidP="00691968">
      <w:pPr>
        <w:autoSpaceDE w:val="0"/>
        <w:autoSpaceDN w:val="0"/>
        <w:jc w:val="both"/>
        <w:rPr>
          <w:rFonts w:asciiTheme="majorBidi" w:eastAsia="Vazir" w:hAnsiTheme="majorBidi" w:cstheme="majorBidi"/>
          <w:color w:val="000000"/>
        </w:rPr>
      </w:pPr>
      <w:r w:rsidRPr="00A826A1">
        <w:rPr>
          <w:rFonts w:asciiTheme="majorBidi" w:eastAsia="Vazir" w:hAnsiTheme="majorBidi" w:cstheme="majorBidi"/>
          <w:color w:val="000000"/>
        </w:rPr>
        <w:t xml:space="preserve">[11] Bruner, J. (2009). The Process of Education. Harvard University Press. </w:t>
      </w:r>
    </w:p>
    <w:p w14:paraId="7CF3048B" w14:textId="77777777" w:rsidR="00691968" w:rsidRPr="00A826A1" w:rsidRDefault="00691968" w:rsidP="00691968">
      <w:pPr>
        <w:autoSpaceDE w:val="0"/>
        <w:autoSpaceDN w:val="0"/>
        <w:jc w:val="both"/>
        <w:rPr>
          <w:rFonts w:asciiTheme="majorBidi" w:eastAsia="Vazir" w:hAnsiTheme="majorBidi" w:cstheme="majorBidi"/>
          <w:color w:val="000000"/>
        </w:rPr>
      </w:pPr>
      <w:r w:rsidRPr="00A826A1">
        <w:rPr>
          <w:rFonts w:asciiTheme="majorBidi" w:eastAsia="Vazir" w:hAnsiTheme="majorBidi" w:cstheme="majorBidi"/>
          <w:color w:val="000000"/>
        </w:rPr>
        <w:t>[12] Kirschner, P. A., Sweller, J., &amp; Clark, R. E. (2006). Why Minimal Guidance During Instruction Does Not Work. Educational Psychologist, 41(2), 75</w:t>
      </w:r>
      <w:r w:rsidRPr="00A826A1">
        <w:rPr>
          <w:rFonts w:asciiTheme="majorBidi" w:eastAsia="Liberation Sans" w:hAnsiTheme="majorBidi" w:cstheme="majorBidi"/>
          <w:color w:val="000000"/>
        </w:rPr>
        <w:t>–</w:t>
      </w:r>
      <w:r w:rsidRPr="00A826A1">
        <w:rPr>
          <w:rFonts w:asciiTheme="majorBidi" w:eastAsia="Vazir" w:hAnsiTheme="majorBidi" w:cstheme="majorBidi"/>
          <w:color w:val="000000"/>
        </w:rPr>
        <w:t xml:space="preserve">86. </w:t>
      </w:r>
    </w:p>
    <w:p w14:paraId="12024F5F" w14:textId="77777777" w:rsidR="00691968" w:rsidRPr="00A826A1" w:rsidRDefault="00691968" w:rsidP="00691968">
      <w:pPr>
        <w:autoSpaceDE w:val="0"/>
        <w:autoSpaceDN w:val="0"/>
        <w:jc w:val="both"/>
        <w:rPr>
          <w:rFonts w:asciiTheme="majorBidi" w:eastAsia="Vazir" w:hAnsiTheme="majorBidi" w:cstheme="majorBidi"/>
          <w:color w:val="000000"/>
        </w:rPr>
      </w:pPr>
      <w:r w:rsidRPr="00A826A1">
        <w:rPr>
          <w:rFonts w:asciiTheme="majorBidi" w:eastAsia="Vazir" w:hAnsiTheme="majorBidi" w:cstheme="majorBidi"/>
          <w:color w:val="000000"/>
        </w:rPr>
        <w:t xml:space="preserve">[13] Tomlinson, C. A. (2019). Differentiated Classroom: Responding to the Needs of All Learners. ASCD. </w:t>
      </w:r>
    </w:p>
    <w:p w14:paraId="7DABA130" w14:textId="77777777" w:rsidR="00691968" w:rsidRPr="00A826A1" w:rsidRDefault="00691968" w:rsidP="00691968">
      <w:pPr>
        <w:autoSpaceDE w:val="0"/>
        <w:autoSpaceDN w:val="0"/>
        <w:jc w:val="both"/>
        <w:rPr>
          <w:rFonts w:asciiTheme="majorBidi" w:eastAsia="Vazir" w:hAnsiTheme="majorBidi" w:cstheme="majorBidi"/>
          <w:color w:val="000000"/>
        </w:rPr>
      </w:pPr>
      <w:r w:rsidRPr="00A826A1">
        <w:rPr>
          <w:rFonts w:asciiTheme="majorBidi" w:eastAsia="Vazir" w:hAnsiTheme="majorBidi" w:cstheme="majorBidi"/>
          <w:color w:val="000000"/>
        </w:rPr>
        <w:t xml:space="preserve">[14] Black, P., &amp; Wiliam, D. (2018). Inside the Black Box: Raising Standards through Classroom Assessment. Phi Delta Kappan. </w:t>
      </w:r>
    </w:p>
    <w:p w14:paraId="3C5398B0" w14:textId="77777777" w:rsidR="00691968" w:rsidRPr="00A826A1" w:rsidRDefault="00691968" w:rsidP="00691968">
      <w:pPr>
        <w:autoSpaceDE w:val="0"/>
        <w:autoSpaceDN w:val="0"/>
        <w:jc w:val="both"/>
        <w:rPr>
          <w:rFonts w:asciiTheme="majorBidi" w:eastAsia="Vazir" w:hAnsiTheme="majorBidi" w:cstheme="majorBidi"/>
          <w:color w:val="000000"/>
        </w:rPr>
      </w:pPr>
      <w:r w:rsidRPr="00A826A1">
        <w:rPr>
          <w:rFonts w:asciiTheme="majorBidi" w:eastAsia="Vazir" w:hAnsiTheme="majorBidi" w:cstheme="majorBidi"/>
          <w:color w:val="000000"/>
        </w:rPr>
        <w:t>[15] Hattie, J., &amp; Timperley, H. (2007). The Power of Feedback. Review of Educational Research, 77(1), 81</w:t>
      </w:r>
      <w:r w:rsidRPr="00A826A1">
        <w:rPr>
          <w:rFonts w:asciiTheme="majorBidi" w:eastAsia="Liberation Sans" w:hAnsiTheme="majorBidi" w:cstheme="majorBidi"/>
          <w:color w:val="000000"/>
        </w:rPr>
        <w:t>–</w:t>
      </w:r>
      <w:r w:rsidRPr="00A826A1">
        <w:rPr>
          <w:rFonts w:asciiTheme="majorBidi" w:eastAsia="Vazir" w:hAnsiTheme="majorBidi" w:cstheme="majorBidi"/>
          <w:color w:val="000000"/>
        </w:rPr>
        <w:t xml:space="preserve">112. </w:t>
      </w:r>
    </w:p>
    <w:p w14:paraId="6E15614A" w14:textId="77777777" w:rsidR="00691968" w:rsidRPr="00A826A1" w:rsidRDefault="00691968" w:rsidP="00691968">
      <w:pPr>
        <w:autoSpaceDE w:val="0"/>
        <w:autoSpaceDN w:val="0"/>
        <w:jc w:val="both"/>
        <w:rPr>
          <w:rFonts w:asciiTheme="majorBidi" w:eastAsia="Vazir" w:hAnsiTheme="majorBidi" w:cstheme="majorBidi"/>
          <w:color w:val="000000"/>
        </w:rPr>
      </w:pPr>
      <w:r w:rsidRPr="00A826A1">
        <w:rPr>
          <w:rFonts w:asciiTheme="majorBidi" w:eastAsia="Vazir" w:hAnsiTheme="majorBidi" w:cstheme="majorBidi"/>
          <w:color w:val="000000"/>
        </w:rPr>
        <w:t>[16] Eccles, J. S., &amp; Wigfield, A. (2020). Motivational Beliefs, Values, and Goals. Annual Review of Psychology, 71, 109</w:t>
      </w:r>
      <w:r w:rsidRPr="00A826A1">
        <w:rPr>
          <w:rFonts w:asciiTheme="majorBidi" w:eastAsia="Liberation Sans" w:hAnsiTheme="majorBidi" w:cstheme="majorBidi"/>
          <w:color w:val="000000"/>
        </w:rPr>
        <w:t>–</w:t>
      </w:r>
      <w:r w:rsidRPr="00A826A1">
        <w:rPr>
          <w:rFonts w:asciiTheme="majorBidi" w:eastAsia="Vazir" w:hAnsiTheme="majorBidi" w:cstheme="majorBidi"/>
          <w:color w:val="000000"/>
        </w:rPr>
        <w:t xml:space="preserve">132. </w:t>
      </w:r>
    </w:p>
    <w:p w14:paraId="45424D6B" w14:textId="77777777" w:rsidR="00691968" w:rsidRPr="00A826A1" w:rsidRDefault="00691968" w:rsidP="00691968">
      <w:pPr>
        <w:autoSpaceDE w:val="0"/>
        <w:autoSpaceDN w:val="0"/>
        <w:jc w:val="both"/>
        <w:rPr>
          <w:rFonts w:asciiTheme="majorBidi" w:eastAsia="Vazir" w:hAnsiTheme="majorBidi" w:cstheme="majorBidi"/>
          <w:color w:val="000000"/>
        </w:rPr>
      </w:pPr>
      <w:r w:rsidRPr="00A826A1">
        <w:rPr>
          <w:rFonts w:asciiTheme="majorBidi" w:eastAsia="Vazir" w:hAnsiTheme="majorBidi" w:cstheme="majorBidi"/>
          <w:color w:val="000000"/>
        </w:rPr>
        <w:t>[17] Durlak, J. A., et al. (2020). The Impact of SEL Programs on School and Student Outcomes. Child Development, 91(2), 234</w:t>
      </w:r>
      <w:r w:rsidRPr="00A826A1">
        <w:rPr>
          <w:rFonts w:asciiTheme="majorBidi" w:eastAsia="Liberation Sans" w:hAnsiTheme="majorBidi" w:cstheme="majorBidi"/>
          <w:color w:val="000000"/>
        </w:rPr>
        <w:t>–</w:t>
      </w:r>
      <w:r w:rsidRPr="00A826A1">
        <w:rPr>
          <w:rFonts w:asciiTheme="majorBidi" w:eastAsia="Vazir" w:hAnsiTheme="majorBidi" w:cstheme="majorBidi"/>
          <w:color w:val="000000"/>
        </w:rPr>
        <w:t xml:space="preserve">259. </w:t>
      </w:r>
    </w:p>
    <w:p w14:paraId="1BA0CD54" w14:textId="77777777" w:rsidR="00691968" w:rsidRPr="00A826A1" w:rsidRDefault="00691968" w:rsidP="00691968">
      <w:pPr>
        <w:autoSpaceDE w:val="0"/>
        <w:autoSpaceDN w:val="0"/>
        <w:jc w:val="both"/>
        <w:rPr>
          <w:rFonts w:asciiTheme="majorBidi" w:eastAsia="Vazir" w:hAnsiTheme="majorBidi" w:cstheme="majorBidi"/>
          <w:color w:val="000000"/>
        </w:rPr>
      </w:pPr>
      <w:r w:rsidRPr="00A826A1">
        <w:rPr>
          <w:rFonts w:asciiTheme="majorBidi" w:eastAsia="Vazir" w:hAnsiTheme="majorBidi" w:cstheme="majorBidi"/>
          <w:color w:val="000000"/>
        </w:rPr>
        <w:t>[18] Pekrun, R. (2021). Emotion and Learning. Educational Psychologist, 56(3), 186</w:t>
      </w:r>
      <w:r w:rsidRPr="00A826A1">
        <w:rPr>
          <w:rFonts w:asciiTheme="majorBidi" w:eastAsia="Liberation Sans" w:hAnsiTheme="majorBidi" w:cstheme="majorBidi"/>
          <w:color w:val="000000"/>
        </w:rPr>
        <w:t>–</w:t>
      </w:r>
      <w:r w:rsidRPr="00A826A1">
        <w:rPr>
          <w:rFonts w:asciiTheme="majorBidi" w:eastAsia="Vazir" w:hAnsiTheme="majorBidi" w:cstheme="majorBidi"/>
          <w:color w:val="000000"/>
        </w:rPr>
        <w:t xml:space="preserve">204. [19] Wentzel, K. R., &amp; Miele, D. B. (2023). Handbook of Motivation at School (3rd ed.). Routledge. </w:t>
      </w:r>
    </w:p>
    <w:p w14:paraId="02F1BFA0" w14:textId="77777777" w:rsidR="00691968" w:rsidRPr="00A826A1" w:rsidRDefault="00691968" w:rsidP="00691968">
      <w:pPr>
        <w:autoSpaceDE w:val="0"/>
        <w:autoSpaceDN w:val="0"/>
        <w:jc w:val="both"/>
        <w:rPr>
          <w:rFonts w:asciiTheme="majorBidi" w:eastAsia="Vazir" w:hAnsiTheme="majorBidi" w:cstheme="majorBidi"/>
          <w:color w:val="000000"/>
        </w:rPr>
      </w:pPr>
      <w:r w:rsidRPr="00A826A1">
        <w:rPr>
          <w:rFonts w:asciiTheme="majorBidi" w:eastAsia="Vazir" w:hAnsiTheme="majorBidi" w:cstheme="majorBidi"/>
          <w:color w:val="000000"/>
        </w:rPr>
        <w:t xml:space="preserve">[20] Zimmerman, B. J. (2020). Self-Regulated Learning: Theories, Measures, and Outcomes. Springer. </w:t>
      </w:r>
    </w:p>
    <w:p w14:paraId="0F5101C5" w14:textId="77777777" w:rsidR="00691968" w:rsidRPr="00A826A1" w:rsidRDefault="00691968" w:rsidP="00691968">
      <w:pPr>
        <w:autoSpaceDE w:val="0"/>
        <w:autoSpaceDN w:val="0"/>
        <w:jc w:val="both"/>
        <w:rPr>
          <w:rFonts w:asciiTheme="majorBidi" w:eastAsia="Vazir" w:hAnsiTheme="majorBidi" w:cstheme="majorBidi"/>
          <w:color w:val="000000"/>
        </w:rPr>
      </w:pPr>
      <w:r w:rsidRPr="00A826A1">
        <w:rPr>
          <w:rFonts w:asciiTheme="majorBidi" w:eastAsia="Vazir" w:hAnsiTheme="majorBidi" w:cstheme="majorBidi"/>
          <w:color w:val="000000"/>
        </w:rPr>
        <w:t xml:space="preserve">[21] OECD (2022). Education Policy Outlook 2022: Transforming Education for the Future. OECD Publishing. </w:t>
      </w:r>
    </w:p>
    <w:p w14:paraId="31BD8F3A" w14:textId="77777777" w:rsidR="00691968" w:rsidRPr="00A826A1" w:rsidRDefault="00691968" w:rsidP="00691968">
      <w:pPr>
        <w:autoSpaceDE w:val="0"/>
        <w:autoSpaceDN w:val="0"/>
        <w:jc w:val="both"/>
        <w:rPr>
          <w:rFonts w:asciiTheme="majorBidi" w:eastAsia="Vazir" w:hAnsiTheme="majorBidi" w:cstheme="majorBidi"/>
          <w:color w:val="000000"/>
        </w:rPr>
      </w:pPr>
      <w:r w:rsidRPr="00A826A1">
        <w:rPr>
          <w:rFonts w:asciiTheme="majorBidi" w:eastAsia="Vazir" w:hAnsiTheme="majorBidi" w:cstheme="majorBidi"/>
          <w:color w:val="000000"/>
        </w:rPr>
        <w:t>[22] Deci, E. L., Koestner, R., &amp; Ryan, R. M. (1999). A Meta-Analytic Review of Experiments on Extrinsic Rewards and Intrinsic Motivation. Psychological Bulletin, 125(6), 627</w:t>
      </w:r>
      <w:r w:rsidRPr="00A826A1">
        <w:rPr>
          <w:rFonts w:asciiTheme="majorBidi" w:eastAsia="Liberation Sans" w:hAnsiTheme="majorBidi" w:cstheme="majorBidi"/>
          <w:color w:val="000000"/>
        </w:rPr>
        <w:t>–</w:t>
      </w:r>
      <w:r w:rsidRPr="00A826A1">
        <w:rPr>
          <w:rFonts w:asciiTheme="majorBidi" w:eastAsia="Vazir" w:hAnsiTheme="majorBidi" w:cstheme="majorBidi"/>
          <w:color w:val="000000"/>
        </w:rPr>
        <w:t xml:space="preserve">668. </w:t>
      </w:r>
    </w:p>
    <w:p w14:paraId="502C7870" w14:textId="77777777" w:rsidR="00691968" w:rsidRPr="00A826A1" w:rsidRDefault="00691968" w:rsidP="00691968">
      <w:pPr>
        <w:autoSpaceDE w:val="0"/>
        <w:autoSpaceDN w:val="0"/>
        <w:jc w:val="both"/>
        <w:rPr>
          <w:rFonts w:asciiTheme="majorBidi" w:hAnsiTheme="majorBidi" w:cstheme="majorBidi"/>
        </w:rPr>
      </w:pPr>
      <w:r w:rsidRPr="00A826A1">
        <w:rPr>
          <w:rFonts w:asciiTheme="majorBidi" w:eastAsia="Vazir" w:hAnsiTheme="majorBidi" w:cstheme="majorBidi"/>
          <w:color w:val="000000"/>
        </w:rPr>
        <w:t>[23] UNESCO (2023). Reimagining Our Futures Together: A New Social Contract for Education. UNESCO Publishing.</w:t>
      </w:r>
    </w:p>
    <w:p w14:paraId="5CE8EC97" w14:textId="77777777" w:rsidR="00534ABE" w:rsidRDefault="00534ABE" w:rsidP="00992AEA">
      <w:pPr>
        <w:spacing w:line="230" w:lineRule="auto"/>
        <w:jc w:val="both"/>
      </w:pPr>
    </w:p>
    <w:sectPr w:rsidR="00534ABE" w:rsidSect="00534ABE">
      <w:headerReference w:type="default" r:id="rId8"/>
      <w:footerReference w:type="even" r:id="rId9"/>
      <w:footerReference w:type="default" r:id="rId10"/>
      <w:type w:val="continuous"/>
      <w:pgSz w:w="11907" w:h="16840"/>
      <w:pgMar w:top="1418" w:right="1418" w:bottom="1418" w:left="1134"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BC6408" w14:textId="77777777" w:rsidR="00A8281A" w:rsidRDefault="00A8281A">
      <w:r>
        <w:separator/>
      </w:r>
    </w:p>
  </w:endnote>
  <w:endnote w:type="continuationSeparator" w:id="0">
    <w:p w14:paraId="305E468B" w14:textId="77777777" w:rsidR="00A8281A" w:rsidRDefault="00A828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 Nazanin">
    <w:panose1 w:val="00000400000000000000"/>
    <w:charset w:val="B2"/>
    <w:family w:val="auto"/>
    <w:pitch w:val="variable"/>
    <w:sig w:usb0="00002001" w:usb1="80000000" w:usb2="00000008" w:usb3="00000000" w:csb0="0000004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azanin">
    <w:altName w:val="Arial"/>
    <w:charset w:val="B2"/>
    <w:family w:val="auto"/>
    <w:pitch w:val="variable"/>
    <w:sig w:usb0="00002001" w:usb1="80000000" w:usb2="00000008" w:usb3="00000000" w:csb0="00000040" w:csb1="00000000"/>
  </w:font>
  <w:font w:name="Traditional Arabic">
    <w:panose1 w:val="02020603050405020304"/>
    <w:charset w:val="00"/>
    <w:family w:val="roman"/>
    <w:pitch w:val="variable"/>
    <w:sig w:usb0="00002003" w:usb1="80000000" w:usb2="00000008" w:usb3="00000000" w:csb0="00000041" w:csb1="00000000"/>
  </w:font>
  <w:font w:name="Mitra">
    <w:altName w:val="Arial"/>
    <w:charset w:val="B2"/>
    <w:family w:val="auto"/>
    <w:pitch w:val="variable"/>
    <w:sig w:usb0="00002001" w:usb1="80000000" w:usb2="00000008" w:usb3="00000000" w:csb0="00000040" w:csb1="00000000"/>
  </w:font>
  <w:font w:name="Lotus">
    <w:charset w:val="B2"/>
    <w:family w:val="auto"/>
    <w:pitch w:val="variable"/>
    <w:sig w:usb0="00002001" w:usb1="80000000" w:usb2="00000008" w:usb3="00000000" w:csb0="0000004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Zar">
    <w:charset w:val="B2"/>
    <w:family w:val="auto"/>
    <w:pitch w:val="variable"/>
    <w:sig w:usb0="00002001" w:usb1="80000000" w:usb2="00000008" w:usb3="00000000" w:csb0="00000040" w:csb1="00000000"/>
  </w:font>
  <w:font w:name="Yagut">
    <w:charset w:val="B2"/>
    <w:family w:val="auto"/>
    <w:pitch w:val="variable"/>
    <w:sig w:usb0="00002001" w:usb1="00000000" w:usb2="00000000" w:usb3="00000000" w:csb0="00000040" w:csb1="00000000"/>
  </w:font>
  <w:font w:name="SimSun">
    <w:altName w:val="宋体"/>
    <w:panose1 w:val="02010600030101010101"/>
    <w:charset w:val="86"/>
    <w:family w:val="auto"/>
    <w:pitch w:val="variable"/>
    <w:sig w:usb0="00000203" w:usb1="288F0000" w:usb2="00000016" w:usb3="00000000" w:csb0="00040001" w:csb1="00000000"/>
  </w:font>
  <w:font w:name="Mitra Mazar">
    <w:altName w:val="Times New Roman"/>
    <w:charset w:val="B2"/>
    <w:family w:val="auto"/>
    <w:pitch w:val="variable"/>
    <w:sig w:usb0="00002001" w:usb1="00000000" w:usb2="00000000" w:usb3="00000000" w:csb0="0000004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Franklin Gothic Demi Cond">
    <w:panose1 w:val="020B0706030402020204"/>
    <w:charset w:val="00"/>
    <w:family w:val="swiss"/>
    <w:pitch w:val="variable"/>
    <w:sig w:usb0="000002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Vazir">
    <w:altName w:val="Cambria"/>
    <w:panose1 w:val="00000000000000000000"/>
    <w:charset w:val="00"/>
    <w:family w:val="roman"/>
    <w:notTrueType/>
    <w:pitch w:val="default"/>
    <w:sig w:usb0="00000003" w:usb1="00000000" w:usb2="00000000" w:usb3="00000000" w:csb0="00000001" w:csb1="00000000"/>
  </w:font>
  <w:font w:name="Liberation Sans">
    <w:altName w:val="Arial"/>
    <w:panose1 w:val="00000000000000000000"/>
    <w:charset w:val="00"/>
    <w:family w:val="roman"/>
    <w:notTrueType/>
    <w:pitch w:val="default"/>
  </w:font>
  <w:font w:name="KaTeX_Math">
    <w:altName w:val="Cambria"/>
    <w:panose1 w:val="00000000000000000000"/>
    <w:charset w:val="00"/>
    <w:family w:val="roman"/>
    <w:notTrueType/>
    <w:pitch w:val="default"/>
  </w:font>
  <w:font w:name="KaTeX_Main">
    <w:altName w:val="Cambri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23CA65" w14:textId="77777777" w:rsidR="0076212E" w:rsidRDefault="00CA169D" w:rsidP="008C75F1">
    <w:pPr>
      <w:pStyle w:val="Footer"/>
      <w:framePr w:wrap="around" w:vAnchor="text" w:hAnchor="margin" w:xAlign="center" w:y="1"/>
      <w:rPr>
        <w:rStyle w:val="PageNumber"/>
      </w:rPr>
    </w:pPr>
    <w:r>
      <w:rPr>
        <w:rStyle w:val="PageNumber"/>
      </w:rPr>
      <w:fldChar w:fldCharType="begin"/>
    </w:r>
    <w:r w:rsidR="0076212E">
      <w:rPr>
        <w:rStyle w:val="PageNumber"/>
      </w:rPr>
      <w:instrText xml:space="preserve">PAGE  </w:instrText>
    </w:r>
    <w:r>
      <w:rPr>
        <w:rStyle w:val="PageNumber"/>
      </w:rPr>
      <w:fldChar w:fldCharType="end"/>
    </w:r>
  </w:p>
  <w:p w14:paraId="06187C0E" w14:textId="77777777" w:rsidR="0076212E" w:rsidRDefault="007621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592116" w14:textId="48577AEF" w:rsidR="009869C7" w:rsidRPr="009869C7" w:rsidRDefault="009869C7">
    <w:pPr>
      <w:pStyle w:val="Footer"/>
      <w:jc w:val="center"/>
      <w:rPr>
        <w:caps/>
      </w:rPr>
    </w:pPr>
    <w:r w:rsidRPr="009869C7">
      <w:rPr>
        <w:caps/>
        <w:noProof w:val="0"/>
      </w:rPr>
      <w:fldChar w:fldCharType="begin"/>
    </w:r>
    <w:r w:rsidRPr="009869C7">
      <w:rPr>
        <w:caps/>
      </w:rPr>
      <w:instrText xml:space="preserve"> PAGE   \* MERGEFORMAT </w:instrText>
    </w:r>
    <w:r w:rsidRPr="009869C7">
      <w:rPr>
        <w:caps/>
        <w:noProof w:val="0"/>
      </w:rPr>
      <w:fldChar w:fldCharType="separate"/>
    </w:r>
    <w:r w:rsidR="002F6FBE">
      <w:rPr>
        <w:caps/>
      </w:rPr>
      <w:t>1</w:t>
    </w:r>
    <w:r w:rsidRPr="009869C7">
      <w:rPr>
        <w:caps/>
      </w:rPr>
      <w:fldChar w:fldCharType="end"/>
    </w:r>
  </w:p>
  <w:p w14:paraId="20575974" w14:textId="77777777" w:rsidR="009869C7" w:rsidRDefault="009869C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B9E4CA" w14:textId="77777777" w:rsidR="00A8281A" w:rsidRDefault="00A8281A" w:rsidP="0010114F">
      <w:pPr>
        <w:bidi/>
      </w:pPr>
      <w:r>
        <w:separator/>
      </w:r>
    </w:p>
  </w:footnote>
  <w:footnote w:type="continuationSeparator" w:id="0">
    <w:p w14:paraId="1C37F635" w14:textId="77777777" w:rsidR="00A8281A" w:rsidRDefault="00A828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2B0E6D" w14:textId="5E6CB59A" w:rsidR="00931BA1" w:rsidRDefault="008A75B7" w:rsidP="00AA30C4">
    <w:pPr>
      <w:pStyle w:val="Header"/>
    </w:pPr>
    <w:r>
      <w:rPr>
        <w:noProof/>
        <w:snapToGrid/>
      </w:rPr>
      <w:drawing>
        <wp:anchor distT="0" distB="0" distL="114300" distR="114300" simplePos="0" relativeHeight="251658240" behindDoc="1" locked="0" layoutInCell="1" allowOverlap="1" wp14:anchorId="0B7FC57E" wp14:editId="1B1AA988">
          <wp:simplePos x="0" y="0"/>
          <wp:positionH relativeFrom="page">
            <wp:align>right</wp:align>
          </wp:positionH>
          <wp:positionV relativeFrom="paragraph">
            <wp:posOffset>-50165</wp:posOffset>
          </wp:positionV>
          <wp:extent cx="5940425" cy="721360"/>
          <wp:effectExtent l="0" t="0" r="3175" b="2540"/>
          <wp:wrapTight wrapText="bothSides">
            <wp:wrapPolygon edited="0">
              <wp:start x="0" y="0"/>
              <wp:lineTo x="0" y="21106"/>
              <wp:lineTo x="21542" y="21106"/>
              <wp:lineTo x="21542" y="0"/>
              <wp:lineTo x="0" y="0"/>
            </wp:wrapPolygon>
          </wp:wrapTight>
          <wp:docPr id="35681316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6252702" name="Picture 1496252702"/>
                  <pic:cNvPicPr/>
                </pic:nvPicPr>
                <pic:blipFill>
                  <a:blip r:embed="rId1">
                    <a:extLst>
                      <a:ext uri="{28A0092B-C50C-407E-A947-70E740481C1C}">
                        <a14:useLocalDpi xmlns:a14="http://schemas.microsoft.com/office/drawing/2010/main" val="0"/>
                      </a:ext>
                    </a:extLst>
                  </a:blip>
                  <a:stretch>
                    <a:fillRect/>
                  </a:stretch>
                </pic:blipFill>
                <pic:spPr>
                  <a:xfrm>
                    <a:off x="0" y="0"/>
                    <a:ext cx="5940425" cy="72136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B8061D"/>
    <w:multiLevelType w:val="multilevel"/>
    <w:tmpl w:val="8C6C7A6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 w15:restartNumberingAfterBreak="0">
    <w:nsid w:val="0A4A610B"/>
    <w:multiLevelType w:val="multilevel"/>
    <w:tmpl w:val="03FA01AA"/>
    <w:lvl w:ilvl="0">
      <w:start w:val="1"/>
      <w:numFmt w:val="decimal"/>
      <w:lvlText w:val="%1-"/>
      <w:lvlJc w:val="left"/>
      <w:pPr>
        <w:tabs>
          <w:tab w:val="num" w:pos="360"/>
        </w:tabs>
        <w:ind w:left="360" w:hanging="360"/>
      </w:pPr>
      <w:rPr>
        <w:rFonts w:ascii="Arial" w:hAnsi="Arial" w:cs="B Nazanin" w:hint="default"/>
        <w:b w:val="0"/>
        <w:bCs w:val="0"/>
        <w:i w:val="0"/>
        <w:iCs w:val="0"/>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 w15:restartNumberingAfterBreak="0">
    <w:nsid w:val="105A72BF"/>
    <w:multiLevelType w:val="hybridMultilevel"/>
    <w:tmpl w:val="55CA8AEE"/>
    <w:lvl w:ilvl="0" w:tplc="5212126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6B7200B"/>
    <w:multiLevelType w:val="hybridMultilevel"/>
    <w:tmpl w:val="F1A61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7A00D7"/>
    <w:multiLevelType w:val="hybridMultilevel"/>
    <w:tmpl w:val="BDAE58D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DCC7C01"/>
    <w:multiLevelType w:val="multilevel"/>
    <w:tmpl w:val="7C30BBB6"/>
    <w:lvl w:ilvl="0">
      <w:start w:val="1"/>
      <w:numFmt w:val="decimal"/>
      <w:lvlText w:val="%1-"/>
      <w:lvlJc w:val="left"/>
      <w:pPr>
        <w:tabs>
          <w:tab w:val="num" w:pos="360"/>
        </w:tabs>
        <w:ind w:left="360" w:hanging="360"/>
      </w:pPr>
      <w:rPr>
        <w:rFonts w:ascii="Arial" w:hAnsi="Arial" w:cs="B Nazanin"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6" w15:restartNumberingAfterBreak="0">
    <w:nsid w:val="4D6B58C1"/>
    <w:multiLevelType w:val="hybridMultilevel"/>
    <w:tmpl w:val="D3B2EFE4"/>
    <w:lvl w:ilvl="0" w:tplc="7F04274C">
      <w:start w:val="2"/>
      <w:numFmt w:val="bullet"/>
      <w:lvlText w:val=""/>
      <w:lvlJc w:val="left"/>
      <w:pPr>
        <w:tabs>
          <w:tab w:val="num" w:pos="720"/>
        </w:tabs>
        <w:ind w:left="720" w:hanging="360"/>
      </w:pPr>
      <w:rPr>
        <w:rFonts w:ascii="Symbol" w:eastAsia="Times New Roman" w:hAnsi="Symbol" w:cs="Nazani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81C6B08"/>
    <w:multiLevelType w:val="hybridMultilevel"/>
    <w:tmpl w:val="E4D8CD64"/>
    <w:lvl w:ilvl="0" w:tplc="F7807F16">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6A4D5B10"/>
    <w:multiLevelType w:val="multilevel"/>
    <w:tmpl w:val="70B42668"/>
    <w:lvl w:ilvl="0">
      <w:start w:val="1"/>
      <w:numFmt w:val="decimal"/>
      <w:lvlText w:val="%1-"/>
      <w:lvlJc w:val="left"/>
      <w:pPr>
        <w:tabs>
          <w:tab w:val="num" w:pos="360"/>
        </w:tabs>
        <w:ind w:left="360" w:hanging="360"/>
      </w:pPr>
      <w:rPr>
        <w:rFonts w:ascii="Arial" w:hAnsi="Arial" w:cs="B Nazanin" w:hint="default"/>
        <w:b w:val="0"/>
        <w:bCs w:val="0"/>
        <w:i w:val="0"/>
        <w:iCs w:val="0"/>
        <w:sz w:val="20"/>
        <w:szCs w:val="22"/>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9" w15:restartNumberingAfterBreak="0">
    <w:nsid w:val="6C1409EC"/>
    <w:multiLevelType w:val="multilevel"/>
    <w:tmpl w:val="82E02D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C607652"/>
    <w:multiLevelType w:val="multilevel"/>
    <w:tmpl w:val="E6B2FC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759A7757"/>
    <w:multiLevelType w:val="multilevel"/>
    <w:tmpl w:val="62FA780C"/>
    <w:lvl w:ilvl="0">
      <w:start w:val="1"/>
      <w:numFmt w:val="decimal"/>
      <w:lvlText w:val="%1-"/>
      <w:lvlJc w:val="left"/>
      <w:pPr>
        <w:tabs>
          <w:tab w:val="num" w:pos="360"/>
        </w:tabs>
        <w:ind w:left="360" w:hanging="360"/>
      </w:pPr>
      <w:rPr>
        <w:rFonts w:ascii="Arial" w:hAnsi="Arial" w:cs="B Nazanin" w:hint="default"/>
        <w:b w:val="0"/>
        <w:bCs w:val="0"/>
        <w:i w:val="0"/>
        <w:iCs w:val="0"/>
        <w:sz w:val="18"/>
        <w:szCs w:val="22"/>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2" w15:restartNumberingAfterBreak="0">
    <w:nsid w:val="793131FA"/>
    <w:multiLevelType w:val="multilevel"/>
    <w:tmpl w:val="03FA01AA"/>
    <w:lvl w:ilvl="0">
      <w:start w:val="1"/>
      <w:numFmt w:val="decimal"/>
      <w:lvlText w:val="%1-"/>
      <w:lvlJc w:val="left"/>
      <w:pPr>
        <w:tabs>
          <w:tab w:val="num" w:pos="360"/>
        </w:tabs>
        <w:ind w:left="360" w:hanging="360"/>
      </w:pPr>
      <w:rPr>
        <w:rFonts w:ascii="Arial" w:hAnsi="Arial" w:cs="B Nazanin" w:hint="default"/>
        <w:b w:val="0"/>
        <w:bCs w:val="0"/>
        <w:i w:val="0"/>
        <w:iCs w:val="0"/>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3" w15:restartNumberingAfterBreak="0">
    <w:nsid w:val="796561AF"/>
    <w:multiLevelType w:val="multilevel"/>
    <w:tmpl w:val="A308D5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7D922BBA"/>
    <w:multiLevelType w:val="hybridMultilevel"/>
    <w:tmpl w:val="49D84346"/>
    <w:lvl w:ilvl="0" w:tplc="2CD65770">
      <w:start w:val="1"/>
      <w:numFmt w:val="decimal"/>
      <w:lvlText w:val="%1-"/>
      <w:lvlJc w:val="left"/>
      <w:pPr>
        <w:tabs>
          <w:tab w:val="num" w:pos="360"/>
        </w:tabs>
        <w:ind w:left="360" w:hanging="360"/>
      </w:pPr>
      <w:rPr>
        <w:rFonts w:ascii="Arial" w:hAnsi="Arial" w:cs="Nazanin" w:hint="default"/>
        <w:b w:val="0"/>
        <w:bCs w:val="0"/>
        <w:i w:val="0"/>
        <w:iCs w:val="0"/>
        <w:sz w:val="18"/>
        <w:szCs w:val="22"/>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16cid:durableId="1510411430">
    <w:abstractNumId w:val="6"/>
  </w:num>
  <w:num w:numId="2" w16cid:durableId="1736972300">
    <w:abstractNumId w:val="4"/>
  </w:num>
  <w:num w:numId="3" w16cid:durableId="897127909">
    <w:abstractNumId w:val="14"/>
  </w:num>
  <w:num w:numId="4" w16cid:durableId="728311714">
    <w:abstractNumId w:val="0"/>
  </w:num>
  <w:num w:numId="5" w16cid:durableId="701321175">
    <w:abstractNumId w:val="5"/>
  </w:num>
  <w:num w:numId="6" w16cid:durableId="43144089">
    <w:abstractNumId w:val="12"/>
  </w:num>
  <w:num w:numId="7" w16cid:durableId="1362121432">
    <w:abstractNumId w:val="1"/>
  </w:num>
  <w:num w:numId="8" w16cid:durableId="1541504793">
    <w:abstractNumId w:val="8"/>
  </w:num>
  <w:num w:numId="9" w16cid:durableId="1969123017">
    <w:abstractNumId w:val="11"/>
  </w:num>
  <w:num w:numId="10" w16cid:durableId="209731956">
    <w:abstractNumId w:val="2"/>
  </w:num>
  <w:num w:numId="11" w16cid:durableId="1435202018">
    <w:abstractNumId w:val="7"/>
  </w:num>
  <w:num w:numId="12" w16cid:durableId="351492835">
    <w:abstractNumId w:val="3"/>
  </w:num>
  <w:num w:numId="13" w16cid:durableId="477263690">
    <w:abstractNumId w:val="10"/>
  </w:num>
  <w:num w:numId="14" w16cid:durableId="1045790232">
    <w:abstractNumId w:val="13"/>
  </w:num>
  <w:num w:numId="15" w16cid:durableId="66093659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89"/>
  <w:drawingGridVerticalSpacing w:val="121"/>
  <w:displayHorizontalDrawingGridEvery w:val="0"/>
  <w:displayVerticalDrawingGridEvery w:val="2"/>
  <w:noPunctuationKerning/>
  <w:characterSpacingControl w:val="doNotCompress"/>
  <w:hdrShapeDefaults>
    <o:shapedefaults v:ext="edit" spidmax="2050" fillcolor="white" stroke="f">
      <v:fill color="white"/>
      <v:stroke on="f"/>
      <v:textbox style="layout-flow:vertical"/>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7C6E"/>
    <w:rsid w:val="00005A8A"/>
    <w:rsid w:val="0000762C"/>
    <w:rsid w:val="00012964"/>
    <w:rsid w:val="00013D1C"/>
    <w:rsid w:val="00013D8F"/>
    <w:rsid w:val="000223BA"/>
    <w:rsid w:val="00023E17"/>
    <w:rsid w:val="0002405D"/>
    <w:rsid w:val="0002571C"/>
    <w:rsid w:val="000304FB"/>
    <w:rsid w:val="00031EC5"/>
    <w:rsid w:val="000329D0"/>
    <w:rsid w:val="00035264"/>
    <w:rsid w:val="00040DAF"/>
    <w:rsid w:val="00046639"/>
    <w:rsid w:val="000474F1"/>
    <w:rsid w:val="000575A4"/>
    <w:rsid w:val="00057E00"/>
    <w:rsid w:val="000627A5"/>
    <w:rsid w:val="00064DC1"/>
    <w:rsid w:val="000661D4"/>
    <w:rsid w:val="00067051"/>
    <w:rsid w:val="00075BF3"/>
    <w:rsid w:val="00076D30"/>
    <w:rsid w:val="00080D73"/>
    <w:rsid w:val="000818AE"/>
    <w:rsid w:val="00082178"/>
    <w:rsid w:val="00082716"/>
    <w:rsid w:val="0008422C"/>
    <w:rsid w:val="0008444E"/>
    <w:rsid w:val="00084597"/>
    <w:rsid w:val="000868F5"/>
    <w:rsid w:val="0009108B"/>
    <w:rsid w:val="00091ADC"/>
    <w:rsid w:val="00094ED3"/>
    <w:rsid w:val="00097EC9"/>
    <w:rsid w:val="000A0215"/>
    <w:rsid w:val="000A1279"/>
    <w:rsid w:val="000A29DA"/>
    <w:rsid w:val="000A34A2"/>
    <w:rsid w:val="000A3857"/>
    <w:rsid w:val="000A42C8"/>
    <w:rsid w:val="000A6989"/>
    <w:rsid w:val="000B200C"/>
    <w:rsid w:val="000B409D"/>
    <w:rsid w:val="000B4DD7"/>
    <w:rsid w:val="000B4E4F"/>
    <w:rsid w:val="000B4EF1"/>
    <w:rsid w:val="000C19B4"/>
    <w:rsid w:val="000C3386"/>
    <w:rsid w:val="000C362B"/>
    <w:rsid w:val="000C377C"/>
    <w:rsid w:val="000C5339"/>
    <w:rsid w:val="000D1FB9"/>
    <w:rsid w:val="000D7088"/>
    <w:rsid w:val="000D759E"/>
    <w:rsid w:val="000E1AB3"/>
    <w:rsid w:val="000E342C"/>
    <w:rsid w:val="000E45E6"/>
    <w:rsid w:val="000F29F3"/>
    <w:rsid w:val="001008A5"/>
    <w:rsid w:val="0010114F"/>
    <w:rsid w:val="001019E7"/>
    <w:rsid w:val="001019F6"/>
    <w:rsid w:val="00103144"/>
    <w:rsid w:val="00105E8F"/>
    <w:rsid w:val="0010687A"/>
    <w:rsid w:val="00112F90"/>
    <w:rsid w:val="0011434E"/>
    <w:rsid w:val="00124265"/>
    <w:rsid w:val="00124A9A"/>
    <w:rsid w:val="00126E0F"/>
    <w:rsid w:val="0013044A"/>
    <w:rsid w:val="0013069E"/>
    <w:rsid w:val="00131AD7"/>
    <w:rsid w:val="0013403B"/>
    <w:rsid w:val="00134809"/>
    <w:rsid w:val="001416CC"/>
    <w:rsid w:val="00142AF8"/>
    <w:rsid w:val="00153EED"/>
    <w:rsid w:val="00155FDD"/>
    <w:rsid w:val="00162D71"/>
    <w:rsid w:val="00162E8E"/>
    <w:rsid w:val="0016451D"/>
    <w:rsid w:val="00164B5C"/>
    <w:rsid w:val="00164C34"/>
    <w:rsid w:val="00165C51"/>
    <w:rsid w:val="001663D4"/>
    <w:rsid w:val="0016778F"/>
    <w:rsid w:val="00172619"/>
    <w:rsid w:val="00173A0D"/>
    <w:rsid w:val="00175EF9"/>
    <w:rsid w:val="00176BAB"/>
    <w:rsid w:val="00176BE5"/>
    <w:rsid w:val="00182E20"/>
    <w:rsid w:val="00182F64"/>
    <w:rsid w:val="00183B12"/>
    <w:rsid w:val="00184EDB"/>
    <w:rsid w:val="001904AE"/>
    <w:rsid w:val="00191527"/>
    <w:rsid w:val="001919F1"/>
    <w:rsid w:val="00191BE4"/>
    <w:rsid w:val="0019570E"/>
    <w:rsid w:val="0019641B"/>
    <w:rsid w:val="001A23E2"/>
    <w:rsid w:val="001A50B0"/>
    <w:rsid w:val="001A798F"/>
    <w:rsid w:val="001B3E57"/>
    <w:rsid w:val="001B7A70"/>
    <w:rsid w:val="001C19CD"/>
    <w:rsid w:val="001D6CE4"/>
    <w:rsid w:val="001E3013"/>
    <w:rsid w:val="001E40EF"/>
    <w:rsid w:val="001E4699"/>
    <w:rsid w:val="001F1E2E"/>
    <w:rsid w:val="001F2563"/>
    <w:rsid w:val="001F4258"/>
    <w:rsid w:val="00202381"/>
    <w:rsid w:val="0020245A"/>
    <w:rsid w:val="00203608"/>
    <w:rsid w:val="0020454B"/>
    <w:rsid w:val="00204FE8"/>
    <w:rsid w:val="00207816"/>
    <w:rsid w:val="002114AD"/>
    <w:rsid w:val="0021296D"/>
    <w:rsid w:val="00213371"/>
    <w:rsid w:val="002143D9"/>
    <w:rsid w:val="002151F6"/>
    <w:rsid w:val="00220E84"/>
    <w:rsid w:val="00221D4C"/>
    <w:rsid w:val="00224DA0"/>
    <w:rsid w:val="00225ECD"/>
    <w:rsid w:val="0022736F"/>
    <w:rsid w:val="0022784C"/>
    <w:rsid w:val="00232847"/>
    <w:rsid w:val="00233935"/>
    <w:rsid w:val="002344A6"/>
    <w:rsid w:val="002357B0"/>
    <w:rsid w:val="002379A1"/>
    <w:rsid w:val="002407FA"/>
    <w:rsid w:val="00247FBC"/>
    <w:rsid w:val="0025597F"/>
    <w:rsid w:val="0026354D"/>
    <w:rsid w:val="00265002"/>
    <w:rsid w:val="00267703"/>
    <w:rsid w:val="00267F25"/>
    <w:rsid w:val="00273820"/>
    <w:rsid w:val="00276008"/>
    <w:rsid w:val="0027720C"/>
    <w:rsid w:val="00285468"/>
    <w:rsid w:val="00290D64"/>
    <w:rsid w:val="00291525"/>
    <w:rsid w:val="00292AE6"/>
    <w:rsid w:val="0029474E"/>
    <w:rsid w:val="00296950"/>
    <w:rsid w:val="00297565"/>
    <w:rsid w:val="002A11CB"/>
    <w:rsid w:val="002A193A"/>
    <w:rsid w:val="002A25C8"/>
    <w:rsid w:val="002A796F"/>
    <w:rsid w:val="002A7974"/>
    <w:rsid w:val="002B04C5"/>
    <w:rsid w:val="002B1C70"/>
    <w:rsid w:val="002B2A44"/>
    <w:rsid w:val="002B3173"/>
    <w:rsid w:val="002B3BAD"/>
    <w:rsid w:val="002B7DCC"/>
    <w:rsid w:val="002C7D8B"/>
    <w:rsid w:val="002D5004"/>
    <w:rsid w:val="002D6EAE"/>
    <w:rsid w:val="002D7C93"/>
    <w:rsid w:val="002E35D5"/>
    <w:rsid w:val="002E38A9"/>
    <w:rsid w:val="002E55BC"/>
    <w:rsid w:val="002E5D92"/>
    <w:rsid w:val="002E5DCF"/>
    <w:rsid w:val="002F45C4"/>
    <w:rsid w:val="002F6FBE"/>
    <w:rsid w:val="002F7B24"/>
    <w:rsid w:val="002F7D84"/>
    <w:rsid w:val="003004E2"/>
    <w:rsid w:val="00304D83"/>
    <w:rsid w:val="003052C7"/>
    <w:rsid w:val="00307902"/>
    <w:rsid w:val="00310583"/>
    <w:rsid w:val="003113AA"/>
    <w:rsid w:val="003115FD"/>
    <w:rsid w:val="003125F5"/>
    <w:rsid w:val="00314105"/>
    <w:rsid w:val="00314361"/>
    <w:rsid w:val="00314582"/>
    <w:rsid w:val="003147BD"/>
    <w:rsid w:val="00315DB0"/>
    <w:rsid w:val="00317F6E"/>
    <w:rsid w:val="00320216"/>
    <w:rsid w:val="00320FC1"/>
    <w:rsid w:val="00320FF5"/>
    <w:rsid w:val="00322BEB"/>
    <w:rsid w:val="00326171"/>
    <w:rsid w:val="00333C9C"/>
    <w:rsid w:val="00333FC8"/>
    <w:rsid w:val="00340489"/>
    <w:rsid w:val="00350911"/>
    <w:rsid w:val="00350DEE"/>
    <w:rsid w:val="00351FFC"/>
    <w:rsid w:val="00352B33"/>
    <w:rsid w:val="00353BEC"/>
    <w:rsid w:val="00353CA5"/>
    <w:rsid w:val="0035544D"/>
    <w:rsid w:val="00362A6F"/>
    <w:rsid w:val="00362B04"/>
    <w:rsid w:val="00364C92"/>
    <w:rsid w:val="00364FF7"/>
    <w:rsid w:val="00367B9D"/>
    <w:rsid w:val="00373928"/>
    <w:rsid w:val="00374012"/>
    <w:rsid w:val="0038170F"/>
    <w:rsid w:val="003869F9"/>
    <w:rsid w:val="0039086C"/>
    <w:rsid w:val="00391881"/>
    <w:rsid w:val="00391B7E"/>
    <w:rsid w:val="00391CBC"/>
    <w:rsid w:val="00392543"/>
    <w:rsid w:val="00396A84"/>
    <w:rsid w:val="00396EB8"/>
    <w:rsid w:val="003A201C"/>
    <w:rsid w:val="003A251B"/>
    <w:rsid w:val="003A3247"/>
    <w:rsid w:val="003A40D1"/>
    <w:rsid w:val="003A4DC6"/>
    <w:rsid w:val="003A5300"/>
    <w:rsid w:val="003A5912"/>
    <w:rsid w:val="003A6057"/>
    <w:rsid w:val="003B0AA1"/>
    <w:rsid w:val="003B3FD6"/>
    <w:rsid w:val="003B52CF"/>
    <w:rsid w:val="003C2AD4"/>
    <w:rsid w:val="003C33B0"/>
    <w:rsid w:val="003C4B36"/>
    <w:rsid w:val="003C5767"/>
    <w:rsid w:val="003D15A1"/>
    <w:rsid w:val="003D4CF0"/>
    <w:rsid w:val="003D62A6"/>
    <w:rsid w:val="003E3451"/>
    <w:rsid w:val="003F0E63"/>
    <w:rsid w:val="003F4911"/>
    <w:rsid w:val="00400644"/>
    <w:rsid w:val="00401ED5"/>
    <w:rsid w:val="00402C2F"/>
    <w:rsid w:val="004053C4"/>
    <w:rsid w:val="004059A1"/>
    <w:rsid w:val="00411648"/>
    <w:rsid w:val="00411E75"/>
    <w:rsid w:val="004141BB"/>
    <w:rsid w:val="004159D6"/>
    <w:rsid w:val="00416215"/>
    <w:rsid w:val="0042085B"/>
    <w:rsid w:val="00421DD4"/>
    <w:rsid w:val="00423008"/>
    <w:rsid w:val="00423C12"/>
    <w:rsid w:val="00423FC4"/>
    <w:rsid w:val="00436057"/>
    <w:rsid w:val="00436729"/>
    <w:rsid w:val="00440630"/>
    <w:rsid w:val="00440981"/>
    <w:rsid w:val="004435BB"/>
    <w:rsid w:val="00445FD5"/>
    <w:rsid w:val="004514F4"/>
    <w:rsid w:val="0045537F"/>
    <w:rsid w:val="004612C0"/>
    <w:rsid w:val="00462FF5"/>
    <w:rsid w:val="004662B6"/>
    <w:rsid w:val="004754A4"/>
    <w:rsid w:val="004826C2"/>
    <w:rsid w:val="00484A4F"/>
    <w:rsid w:val="00486D57"/>
    <w:rsid w:val="00487DBD"/>
    <w:rsid w:val="00491D7C"/>
    <w:rsid w:val="0049225B"/>
    <w:rsid w:val="00495F34"/>
    <w:rsid w:val="004A2325"/>
    <w:rsid w:val="004A3E11"/>
    <w:rsid w:val="004A5E5D"/>
    <w:rsid w:val="004B07E1"/>
    <w:rsid w:val="004B12AD"/>
    <w:rsid w:val="004B1AE8"/>
    <w:rsid w:val="004B7672"/>
    <w:rsid w:val="004C04A6"/>
    <w:rsid w:val="004C0B2C"/>
    <w:rsid w:val="004C1956"/>
    <w:rsid w:val="004C1D6E"/>
    <w:rsid w:val="004C30F5"/>
    <w:rsid w:val="004C4985"/>
    <w:rsid w:val="004C4AAD"/>
    <w:rsid w:val="004D1805"/>
    <w:rsid w:val="004D2087"/>
    <w:rsid w:val="004D268B"/>
    <w:rsid w:val="004D3739"/>
    <w:rsid w:val="004D4572"/>
    <w:rsid w:val="004E2ABD"/>
    <w:rsid w:val="004E3E66"/>
    <w:rsid w:val="004E4356"/>
    <w:rsid w:val="004E4FDF"/>
    <w:rsid w:val="004E795C"/>
    <w:rsid w:val="004F672C"/>
    <w:rsid w:val="005057FC"/>
    <w:rsid w:val="00505D8B"/>
    <w:rsid w:val="00507432"/>
    <w:rsid w:val="005165E9"/>
    <w:rsid w:val="005240CB"/>
    <w:rsid w:val="00524AB6"/>
    <w:rsid w:val="00530B31"/>
    <w:rsid w:val="005347B6"/>
    <w:rsid w:val="00534ABE"/>
    <w:rsid w:val="00540284"/>
    <w:rsid w:val="0054077B"/>
    <w:rsid w:val="00540CAA"/>
    <w:rsid w:val="005413B3"/>
    <w:rsid w:val="00543084"/>
    <w:rsid w:val="0054484B"/>
    <w:rsid w:val="00545D18"/>
    <w:rsid w:val="005474B2"/>
    <w:rsid w:val="00550ABF"/>
    <w:rsid w:val="00551C67"/>
    <w:rsid w:val="00555B28"/>
    <w:rsid w:val="0055796D"/>
    <w:rsid w:val="00557BD9"/>
    <w:rsid w:val="00563773"/>
    <w:rsid w:val="00563FEC"/>
    <w:rsid w:val="005701A9"/>
    <w:rsid w:val="00570A3E"/>
    <w:rsid w:val="00570FEC"/>
    <w:rsid w:val="0057301A"/>
    <w:rsid w:val="005776E5"/>
    <w:rsid w:val="00583F0F"/>
    <w:rsid w:val="00585B4E"/>
    <w:rsid w:val="005900EF"/>
    <w:rsid w:val="00590891"/>
    <w:rsid w:val="00593F13"/>
    <w:rsid w:val="00594C88"/>
    <w:rsid w:val="0059697C"/>
    <w:rsid w:val="005B6E01"/>
    <w:rsid w:val="005C0917"/>
    <w:rsid w:val="005C38DA"/>
    <w:rsid w:val="005C75D3"/>
    <w:rsid w:val="005D1CCC"/>
    <w:rsid w:val="005D6B30"/>
    <w:rsid w:val="005E53CE"/>
    <w:rsid w:val="005F1164"/>
    <w:rsid w:val="005F1922"/>
    <w:rsid w:val="005F2BB4"/>
    <w:rsid w:val="005F444D"/>
    <w:rsid w:val="005F72E7"/>
    <w:rsid w:val="006008F8"/>
    <w:rsid w:val="00601180"/>
    <w:rsid w:val="00601600"/>
    <w:rsid w:val="0060196E"/>
    <w:rsid w:val="00603E8C"/>
    <w:rsid w:val="006058E4"/>
    <w:rsid w:val="00607F56"/>
    <w:rsid w:val="0061159F"/>
    <w:rsid w:val="006206AE"/>
    <w:rsid w:val="0062275D"/>
    <w:rsid w:val="0062731B"/>
    <w:rsid w:val="00630B1A"/>
    <w:rsid w:val="00632F32"/>
    <w:rsid w:val="00633634"/>
    <w:rsid w:val="00634760"/>
    <w:rsid w:val="00635FD7"/>
    <w:rsid w:val="00641FFE"/>
    <w:rsid w:val="00644482"/>
    <w:rsid w:val="006472C3"/>
    <w:rsid w:val="00651C78"/>
    <w:rsid w:val="006522FC"/>
    <w:rsid w:val="006525E3"/>
    <w:rsid w:val="006536C8"/>
    <w:rsid w:val="006555F0"/>
    <w:rsid w:val="00661450"/>
    <w:rsid w:val="00662912"/>
    <w:rsid w:val="00663FDC"/>
    <w:rsid w:val="006653A4"/>
    <w:rsid w:val="006670CC"/>
    <w:rsid w:val="006676C9"/>
    <w:rsid w:val="0067212E"/>
    <w:rsid w:val="006740A5"/>
    <w:rsid w:val="00674811"/>
    <w:rsid w:val="00675015"/>
    <w:rsid w:val="00675B87"/>
    <w:rsid w:val="00683BCE"/>
    <w:rsid w:val="00690695"/>
    <w:rsid w:val="0069162F"/>
    <w:rsid w:val="00691968"/>
    <w:rsid w:val="00693864"/>
    <w:rsid w:val="00694FA3"/>
    <w:rsid w:val="00696656"/>
    <w:rsid w:val="006A10F4"/>
    <w:rsid w:val="006A2DF0"/>
    <w:rsid w:val="006A3018"/>
    <w:rsid w:val="006A371A"/>
    <w:rsid w:val="006B3E69"/>
    <w:rsid w:val="006B6E95"/>
    <w:rsid w:val="006C09E5"/>
    <w:rsid w:val="006C6FA5"/>
    <w:rsid w:val="006C7784"/>
    <w:rsid w:val="006D035D"/>
    <w:rsid w:val="006D106C"/>
    <w:rsid w:val="006D18F6"/>
    <w:rsid w:val="006D62BD"/>
    <w:rsid w:val="006D65F1"/>
    <w:rsid w:val="006D6DCA"/>
    <w:rsid w:val="006E2777"/>
    <w:rsid w:val="006E30C4"/>
    <w:rsid w:val="006E65FC"/>
    <w:rsid w:val="006E677A"/>
    <w:rsid w:val="006E7010"/>
    <w:rsid w:val="006F2B63"/>
    <w:rsid w:val="006F4EED"/>
    <w:rsid w:val="006F5037"/>
    <w:rsid w:val="00701887"/>
    <w:rsid w:val="00701A5B"/>
    <w:rsid w:val="00704150"/>
    <w:rsid w:val="007064F4"/>
    <w:rsid w:val="00715110"/>
    <w:rsid w:val="00720252"/>
    <w:rsid w:val="0072224C"/>
    <w:rsid w:val="0072225A"/>
    <w:rsid w:val="00724247"/>
    <w:rsid w:val="00730B45"/>
    <w:rsid w:val="0073616A"/>
    <w:rsid w:val="00736885"/>
    <w:rsid w:val="007379A5"/>
    <w:rsid w:val="00741A92"/>
    <w:rsid w:val="0074396C"/>
    <w:rsid w:val="00746CD3"/>
    <w:rsid w:val="00747DF5"/>
    <w:rsid w:val="00750802"/>
    <w:rsid w:val="0075687D"/>
    <w:rsid w:val="00757277"/>
    <w:rsid w:val="00760430"/>
    <w:rsid w:val="0076060F"/>
    <w:rsid w:val="0076212E"/>
    <w:rsid w:val="00762636"/>
    <w:rsid w:val="00766037"/>
    <w:rsid w:val="00770F6C"/>
    <w:rsid w:val="00777A52"/>
    <w:rsid w:val="00783DE3"/>
    <w:rsid w:val="0079383F"/>
    <w:rsid w:val="007A1CB0"/>
    <w:rsid w:val="007A7A27"/>
    <w:rsid w:val="007C1BFF"/>
    <w:rsid w:val="007C2032"/>
    <w:rsid w:val="007C2B72"/>
    <w:rsid w:val="007D2A63"/>
    <w:rsid w:val="007D62B6"/>
    <w:rsid w:val="007D68E1"/>
    <w:rsid w:val="007E1DFC"/>
    <w:rsid w:val="007E31F1"/>
    <w:rsid w:val="007E5C60"/>
    <w:rsid w:val="007E704E"/>
    <w:rsid w:val="007F47BC"/>
    <w:rsid w:val="00801170"/>
    <w:rsid w:val="00802275"/>
    <w:rsid w:val="00805178"/>
    <w:rsid w:val="00805F81"/>
    <w:rsid w:val="00807515"/>
    <w:rsid w:val="00810B8F"/>
    <w:rsid w:val="00810D38"/>
    <w:rsid w:val="008116A1"/>
    <w:rsid w:val="008116BE"/>
    <w:rsid w:val="00820579"/>
    <w:rsid w:val="00825878"/>
    <w:rsid w:val="00825C75"/>
    <w:rsid w:val="00826A61"/>
    <w:rsid w:val="00827C59"/>
    <w:rsid w:val="00830BCB"/>
    <w:rsid w:val="00830E03"/>
    <w:rsid w:val="0083446A"/>
    <w:rsid w:val="008349BF"/>
    <w:rsid w:val="00835446"/>
    <w:rsid w:val="00836019"/>
    <w:rsid w:val="00840213"/>
    <w:rsid w:val="00844E1E"/>
    <w:rsid w:val="00845DF9"/>
    <w:rsid w:val="0084674C"/>
    <w:rsid w:val="00846D82"/>
    <w:rsid w:val="0085034F"/>
    <w:rsid w:val="008513C0"/>
    <w:rsid w:val="00851F46"/>
    <w:rsid w:val="0085319E"/>
    <w:rsid w:val="0085474F"/>
    <w:rsid w:val="00856157"/>
    <w:rsid w:val="008605CA"/>
    <w:rsid w:val="00861C77"/>
    <w:rsid w:val="0086351F"/>
    <w:rsid w:val="008647A0"/>
    <w:rsid w:val="0087020F"/>
    <w:rsid w:val="0087034B"/>
    <w:rsid w:val="0087157E"/>
    <w:rsid w:val="0087388A"/>
    <w:rsid w:val="00874DE5"/>
    <w:rsid w:val="00877253"/>
    <w:rsid w:val="00890D0E"/>
    <w:rsid w:val="00892202"/>
    <w:rsid w:val="00892489"/>
    <w:rsid w:val="008939E8"/>
    <w:rsid w:val="008947ED"/>
    <w:rsid w:val="00896A1F"/>
    <w:rsid w:val="008A0D73"/>
    <w:rsid w:val="008A2CF0"/>
    <w:rsid w:val="008A75B7"/>
    <w:rsid w:val="008B2916"/>
    <w:rsid w:val="008B420A"/>
    <w:rsid w:val="008B514E"/>
    <w:rsid w:val="008C35C4"/>
    <w:rsid w:val="008C75F1"/>
    <w:rsid w:val="008D2717"/>
    <w:rsid w:val="008D415C"/>
    <w:rsid w:val="008D686D"/>
    <w:rsid w:val="008D6EB3"/>
    <w:rsid w:val="008E2B3A"/>
    <w:rsid w:val="008E6369"/>
    <w:rsid w:val="008F05E5"/>
    <w:rsid w:val="008F42B2"/>
    <w:rsid w:val="008F4320"/>
    <w:rsid w:val="008F4E46"/>
    <w:rsid w:val="008F740A"/>
    <w:rsid w:val="008F791F"/>
    <w:rsid w:val="009014A3"/>
    <w:rsid w:val="00903311"/>
    <w:rsid w:val="0090561A"/>
    <w:rsid w:val="00907877"/>
    <w:rsid w:val="00907DCB"/>
    <w:rsid w:val="0091048C"/>
    <w:rsid w:val="00910837"/>
    <w:rsid w:val="00915A6F"/>
    <w:rsid w:val="00915C17"/>
    <w:rsid w:val="0092264A"/>
    <w:rsid w:val="00923CBA"/>
    <w:rsid w:val="00925AD2"/>
    <w:rsid w:val="0092672D"/>
    <w:rsid w:val="00927CF6"/>
    <w:rsid w:val="009305AF"/>
    <w:rsid w:val="00931BA1"/>
    <w:rsid w:val="009332A6"/>
    <w:rsid w:val="0094315E"/>
    <w:rsid w:val="00947BA6"/>
    <w:rsid w:val="00950CE8"/>
    <w:rsid w:val="00963DDD"/>
    <w:rsid w:val="009664D1"/>
    <w:rsid w:val="00966F47"/>
    <w:rsid w:val="0097026F"/>
    <w:rsid w:val="0097087C"/>
    <w:rsid w:val="0097248D"/>
    <w:rsid w:val="009732EB"/>
    <w:rsid w:val="00975471"/>
    <w:rsid w:val="00975758"/>
    <w:rsid w:val="00975A4A"/>
    <w:rsid w:val="00975FD8"/>
    <w:rsid w:val="009776B3"/>
    <w:rsid w:val="00977BC8"/>
    <w:rsid w:val="00977C0F"/>
    <w:rsid w:val="00982CF3"/>
    <w:rsid w:val="0098445B"/>
    <w:rsid w:val="00984775"/>
    <w:rsid w:val="009859FD"/>
    <w:rsid w:val="009869C7"/>
    <w:rsid w:val="009873E3"/>
    <w:rsid w:val="00992AEA"/>
    <w:rsid w:val="009A63A9"/>
    <w:rsid w:val="009A6E5D"/>
    <w:rsid w:val="009A7B9E"/>
    <w:rsid w:val="009B29B1"/>
    <w:rsid w:val="009B3E06"/>
    <w:rsid w:val="009B6783"/>
    <w:rsid w:val="009C34EF"/>
    <w:rsid w:val="009C3F73"/>
    <w:rsid w:val="009C432E"/>
    <w:rsid w:val="009C7616"/>
    <w:rsid w:val="009D05A9"/>
    <w:rsid w:val="009D583B"/>
    <w:rsid w:val="009D6C1F"/>
    <w:rsid w:val="009D6F8C"/>
    <w:rsid w:val="009D75DA"/>
    <w:rsid w:val="009E51ED"/>
    <w:rsid w:val="009F048E"/>
    <w:rsid w:val="009F0B9D"/>
    <w:rsid w:val="009F5FCD"/>
    <w:rsid w:val="009F6551"/>
    <w:rsid w:val="009F749F"/>
    <w:rsid w:val="009F7F43"/>
    <w:rsid w:val="00A0049D"/>
    <w:rsid w:val="00A006D2"/>
    <w:rsid w:val="00A01AAD"/>
    <w:rsid w:val="00A04681"/>
    <w:rsid w:val="00A0668F"/>
    <w:rsid w:val="00A135EA"/>
    <w:rsid w:val="00A1487A"/>
    <w:rsid w:val="00A154F7"/>
    <w:rsid w:val="00A16127"/>
    <w:rsid w:val="00A20104"/>
    <w:rsid w:val="00A2013B"/>
    <w:rsid w:val="00A20B96"/>
    <w:rsid w:val="00A26AAF"/>
    <w:rsid w:val="00A26D40"/>
    <w:rsid w:val="00A405D7"/>
    <w:rsid w:val="00A41B25"/>
    <w:rsid w:val="00A42B1C"/>
    <w:rsid w:val="00A434F8"/>
    <w:rsid w:val="00A456BB"/>
    <w:rsid w:val="00A475FE"/>
    <w:rsid w:val="00A502C1"/>
    <w:rsid w:val="00A509D4"/>
    <w:rsid w:val="00A51D6F"/>
    <w:rsid w:val="00A57167"/>
    <w:rsid w:val="00A61E53"/>
    <w:rsid w:val="00A63A1E"/>
    <w:rsid w:val="00A66B63"/>
    <w:rsid w:val="00A71BB6"/>
    <w:rsid w:val="00A71F42"/>
    <w:rsid w:val="00A72049"/>
    <w:rsid w:val="00A72879"/>
    <w:rsid w:val="00A72DF1"/>
    <w:rsid w:val="00A777DA"/>
    <w:rsid w:val="00A8281A"/>
    <w:rsid w:val="00A82BF9"/>
    <w:rsid w:val="00A82F80"/>
    <w:rsid w:val="00A83152"/>
    <w:rsid w:val="00A84D57"/>
    <w:rsid w:val="00A860FE"/>
    <w:rsid w:val="00A93C9A"/>
    <w:rsid w:val="00AA054F"/>
    <w:rsid w:val="00AA1AB4"/>
    <w:rsid w:val="00AA30C4"/>
    <w:rsid w:val="00AA3D05"/>
    <w:rsid w:val="00AB1EB1"/>
    <w:rsid w:val="00AB2E20"/>
    <w:rsid w:val="00AB7CF0"/>
    <w:rsid w:val="00AC2167"/>
    <w:rsid w:val="00AC2E84"/>
    <w:rsid w:val="00AC400D"/>
    <w:rsid w:val="00AC61DB"/>
    <w:rsid w:val="00AD3F07"/>
    <w:rsid w:val="00AD3FCF"/>
    <w:rsid w:val="00AD546D"/>
    <w:rsid w:val="00AD5D28"/>
    <w:rsid w:val="00AD6304"/>
    <w:rsid w:val="00AE2063"/>
    <w:rsid w:val="00AE5D08"/>
    <w:rsid w:val="00AF0FE6"/>
    <w:rsid w:val="00AF1F18"/>
    <w:rsid w:val="00B052DB"/>
    <w:rsid w:val="00B058B5"/>
    <w:rsid w:val="00B05F85"/>
    <w:rsid w:val="00B075AE"/>
    <w:rsid w:val="00B1480D"/>
    <w:rsid w:val="00B15EB7"/>
    <w:rsid w:val="00B16859"/>
    <w:rsid w:val="00B204CE"/>
    <w:rsid w:val="00B212AA"/>
    <w:rsid w:val="00B244E7"/>
    <w:rsid w:val="00B256BA"/>
    <w:rsid w:val="00B268DE"/>
    <w:rsid w:val="00B26BED"/>
    <w:rsid w:val="00B366FC"/>
    <w:rsid w:val="00B408D2"/>
    <w:rsid w:val="00B4352A"/>
    <w:rsid w:val="00B446FA"/>
    <w:rsid w:val="00B44A51"/>
    <w:rsid w:val="00B453B5"/>
    <w:rsid w:val="00B5019C"/>
    <w:rsid w:val="00B558B0"/>
    <w:rsid w:val="00B55AB2"/>
    <w:rsid w:val="00B573A3"/>
    <w:rsid w:val="00B61814"/>
    <w:rsid w:val="00B63403"/>
    <w:rsid w:val="00B66A62"/>
    <w:rsid w:val="00B7212F"/>
    <w:rsid w:val="00B72DA9"/>
    <w:rsid w:val="00B74ED8"/>
    <w:rsid w:val="00B75F33"/>
    <w:rsid w:val="00B801B1"/>
    <w:rsid w:val="00B80783"/>
    <w:rsid w:val="00B8268F"/>
    <w:rsid w:val="00B83010"/>
    <w:rsid w:val="00B8493F"/>
    <w:rsid w:val="00B85046"/>
    <w:rsid w:val="00B87025"/>
    <w:rsid w:val="00B920DF"/>
    <w:rsid w:val="00B950C4"/>
    <w:rsid w:val="00B96390"/>
    <w:rsid w:val="00BA2AED"/>
    <w:rsid w:val="00BA339B"/>
    <w:rsid w:val="00BA3D14"/>
    <w:rsid w:val="00BA5A0B"/>
    <w:rsid w:val="00BA7254"/>
    <w:rsid w:val="00BB48F9"/>
    <w:rsid w:val="00BB773E"/>
    <w:rsid w:val="00BC43AC"/>
    <w:rsid w:val="00BC7208"/>
    <w:rsid w:val="00BC7950"/>
    <w:rsid w:val="00BD0793"/>
    <w:rsid w:val="00BD614A"/>
    <w:rsid w:val="00BD6CE5"/>
    <w:rsid w:val="00BF4C28"/>
    <w:rsid w:val="00BF4CA1"/>
    <w:rsid w:val="00C03CB8"/>
    <w:rsid w:val="00C04412"/>
    <w:rsid w:val="00C04C99"/>
    <w:rsid w:val="00C0751F"/>
    <w:rsid w:val="00C1008B"/>
    <w:rsid w:val="00C101AC"/>
    <w:rsid w:val="00C1158A"/>
    <w:rsid w:val="00C1396F"/>
    <w:rsid w:val="00C15948"/>
    <w:rsid w:val="00C16BD0"/>
    <w:rsid w:val="00C173A5"/>
    <w:rsid w:val="00C17C0A"/>
    <w:rsid w:val="00C17C6E"/>
    <w:rsid w:val="00C202AC"/>
    <w:rsid w:val="00C2040D"/>
    <w:rsid w:val="00C21840"/>
    <w:rsid w:val="00C23508"/>
    <w:rsid w:val="00C24F2A"/>
    <w:rsid w:val="00C265E4"/>
    <w:rsid w:val="00C3292F"/>
    <w:rsid w:val="00C435FE"/>
    <w:rsid w:val="00C46DA2"/>
    <w:rsid w:val="00C50F1D"/>
    <w:rsid w:val="00C51A95"/>
    <w:rsid w:val="00C5285D"/>
    <w:rsid w:val="00C53E9A"/>
    <w:rsid w:val="00C54440"/>
    <w:rsid w:val="00C54801"/>
    <w:rsid w:val="00C55AFA"/>
    <w:rsid w:val="00C55E3B"/>
    <w:rsid w:val="00C616EB"/>
    <w:rsid w:val="00C61EF9"/>
    <w:rsid w:val="00C64D7A"/>
    <w:rsid w:val="00C64E12"/>
    <w:rsid w:val="00C763B8"/>
    <w:rsid w:val="00C83B26"/>
    <w:rsid w:val="00C85B2C"/>
    <w:rsid w:val="00C85BA0"/>
    <w:rsid w:val="00C86618"/>
    <w:rsid w:val="00C906BC"/>
    <w:rsid w:val="00C918E2"/>
    <w:rsid w:val="00C969CD"/>
    <w:rsid w:val="00CA169D"/>
    <w:rsid w:val="00CA3F33"/>
    <w:rsid w:val="00CA5726"/>
    <w:rsid w:val="00CA5783"/>
    <w:rsid w:val="00CA7CB4"/>
    <w:rsid w:val="00CB2FB2"/>
    <w:rsid w:val="00CB67CE"/>
    <w:rsid w:val="00CB68EE"/>
    <w:rsid w:val="00CB6DA1"/>
    <w:rsid w:val="00CB7840"/>
    <w:rsid w:val="00CC0C4D"/>
    <w:rsid w:val="00CD1A3C"/>
    <w:rsid w:val="00CE067D"/>
    <w:rsid w:val="00CE151D"/>
    <w:rsid w:val="00CE4842"/>
    <w:rsid w:val="00CE6FE5"/>
    <w:rsid w:val="00CF23AB"/>
    <w:rsid w:val="00CF23DD"/>
    <w:rsid w:val="00CF43C5"/>
    <w:rsid w:val="00D001B3"/>
    <w:rsid w:val="00D07B47"/>
    <w:rsid w:val="00D10269"/>
    <w:rsid w:val="00D10E13"/>
    <w:rsid w:val="00D11550"/>
    <w:rsid w:val="00D11AB2"/>
    <w:rsid w:val="00D12965"/>
    <w:rsid w:val="00D14553"/>
    <w:rsid w:val="00D14A51"/>
    <w:rsid w:val="00D21413"/>
    <w:rsid w:val="00D24116"/>
    <w:rsid w:val="00D24517"/>
    <w:rsid w:val="00D25B57"/>
    <w:rsid w:val="00D26024"/>
    <w:rsid w:val="00D333C2"/>
    <w:rsid w:val="00D33B95"/>
    <w:rsid w:val="00D33E8F"/>
    <w:rsid w:val="00D42639"/>
    <w:rsid w:val="00D437BA"/>
    <w:rsid w:val="00D44DE9"/>
    <w:rsid w:val="00D46F89"/>
    <w:rsid w:val="00D50638"/>
    <w:rsid w:val="00D519B7"/>
    <w:rsid w:val="00D562B8"/>
    <w:rsid w:val="00D60EEE"/>
    <w:rsid w:val="00D621A9"/>
    <w:rsid w:val="00D63501"/>
    <w:rsid w:val="00D646F4"/>
    <w:rsid w:val="00D700A0"/>
    <w:rsid w:val="00D70212"/>
    <w:rsid w:val="00D70ACD"/>
    <w:rsid w:val="00D70C0A"/>
    <w:rsid w:val="00D74FE2"/>
    <w:rsid w:val="00D818D5"/>
    <w:rsid w:val="00D81D0B"/>
    <w:rsid w:val="00D81E2B"/>
    <w:rsid w:val="00D82DFF"/>
    <w:rsid w:val="00D9071E"/>
    <w:rsid w:val="00D9168A"/>
    <w:rsid w:val="00D942E6"/>
    <w:rsid w:val="00D942F7"/>
    <w:rsid w:val="00D972C0"/>
    <w:rsid w:val="00DA12A0"/>
    <w:rsid w:val="00DA2E27"/>
    <w:rsid w:val="00DA3E17"/>
    <w:rsid w:val="00DA49C8"/>
    <w:rsid w:val="00DA7878"/>
    <w:rsid w:val="00DA7C83"/>
    <w:rsid w:val="00DB0046"/>
    <w:rsid w:val="00DB0EB3"/>
    <w:rsid w:val="00DB2B94"/>
    <w:rsid w:val="00DB2F05"/>
    <w:rsid w:val="00DB6DEA"/>
    <w:rsid w:val="00DC27AC"/>
    <w:rsid w:val="00DC7FD8"/>
    <w:rsid w:val="00DD11A1"/>
    <w:rsid w:val="00DD1BFA"/>
    <w:rsid w:val="00DD3A5B"/>
    <w:rsid w:val="00DD67BC"/>
    <w:rsid w:val="00DD7A79"/>
    <w:rsid w:val="00DE67A4"/>
    <w:rsid w:val="00DF4193"/>
    <w:rsid w:val="00DF4800"/>
    <w:rsid w:val="00DF62CC"/>
    <w:rsid w:val="00DF7688"/>
    <w:rsid w:val="00DF7C0A"/>
    <w:rsid w:val="00E010F3"/>
    <w:rsid w:val="00E052C8"/>
    <w:rsid w:val="00E06155"/>
    <w:rsid w:val="00E12090"/>
    <w:rsid w:val="00E13A68"/>
    <w:rsid w:val="00E219D8"/>
    <w:rsid w:val="00E22DF8"/>
    <w:rsid w:val="00E23BB1"/>
    <w:rsid w:val="00E32838"/>
    <w:rsid w:val="00E32CF3"/>
    <w:rsid w:val="00E4005D"/>
    <w:rsid w:val="00E40B9F"/>
    <w:rsid w:val="00E437B3"/>
    <w:rsid w:val="00E450F5"/>
    <w:rsid w:val="00E503B0"/>
    <w:rsid w:val="00E50AA5"/>
    <w:rsid w:val="00E6095A"/>
    <w:rsid w:val="00E709DE"/>
    <w:rsid w:val="00E71223"/>
    <w:rsid w:val="00E736EC"/>
    <w:rsid w:val="00E746FC"/>
    <w:rsid w:val="00E81530"/>
    <w:rsid w:val="00E81BE8"/>
    <w:rsid w:val="00E85C9B"/>
    <w:rsid w:val="00E878DE"/>
    <w:rsid w:val="00E87966"/>
    <w:rsid w:val="00E879E3"/>
    <w:rsid w:val="00E913AD"/>
    <w:rsid w:val="00EA4AC7"/>
    <w:rsid w:val="00EA5BD5"/>
    <w:rsid w:val="00EA5D99"/>
    <w:rsid w:val="00EA78FF"/>
    <w:rsid w:val="00EA7A1A"/>
    <w:rsid w:val="00EB0A4C"/>
    <w:rsid w:val="00EB0D4E"/>
    <w:rsid w:val="00EB445E"/>
    <w:rsid w:val="00EB6164"/>
    <w:rsid w:val="00EC0729"/>
    <w:rsid w:val="00EC16C6"/>
    <w:rsid w:val="00EC366C"/>
    <w:rsid w:val="00EC4432"/>
    <w:rsid w:val="00EC7189"/>
    <w:rsid w:val="00EC7CC2"/>
    <w:rsid w:val="00ED05AF"/>
    <w:rsid w:val="00ED5619"/>
    <w:rsid w:val="00ED63B9"/>
    <w:rsid w:val="00EF2182"/>
    <w:rsid w:val="00EF37AD"/>
    <w:rsid w:val="00EF59E8"/>
    <w:rsid w:val="00EF68A1"/>
    <w:rsid w:val="00EF68E4"/>
    <w:rsid w:val="00F03934"/>
    <w:rsid w:val="00F03B6B"/>
    <w:rsid w:val="00F04A05"/>
    <w:rsid w:val="00F11726"/>
    <w:rsid w:val="00F12787"/>
    <w:rsid w:val="00F1356F"/>
    <w:rsid w:val="00F1735E"/>
    <w:rsid w:val="00F2036E"/>
    <w:rsid w:val="00F2618A"/>
    <w:rsid w:val="00F2673C"/>
    <w:rsid w:val="00F31C9C"/>
    <w:rsid w:val="00F347E8"/>
    <w:rsid w:val="00F4265D"/>
    <w:rsid w:val="00F42F1F"/>
    <w:rsid w:val="00F453A8"/>
    <w:rsid w:val="00F4591D"/>
    <w:rsid w:val="00F50465"/>
    <w:rsid w:val="00F519D0"/>
    <w:rsid w:val="00F61ABE"/>
    <w:rsid w:val="00F63060"/>
    <w:rsid w:val="00F640D2"/>
    <w:rsid w:val="00F66277"/>
    <w:rsid w:val="00F71E7E"/>
    <w:rsid w:val="00F728DC"/>
    <w:rsid w:val="00F735D1"/>
    <w:rsid w:val="00F82249"/>
    <w:rsid w:val="00F82916"/>
    <w:rsid w:val="00F8313C"/>
    <w:rsid w:val="00F857F0"/>
    <w:rsid w:val="00F8777D"/>
    <w:rsid w:val="00F87A7A"/>
    <w:rsid w:val="00F93332"/>
    <w:rsid w:val="00F944B7"/>
    <w:rsid w:val="00FA353F"/>
    <w:rsid w:val="00FA3CDD"/>
    <w:rsid w:val="00FA494D"/>
    <w:rsid w:val="00FB0A0E"/>
    <w:rsid w:val="00FB4B1C"/>
    <w:rsid w:val="00FB6C1B"/>
    <w:rsid w:val="00FC0293"/>
    <w:rsid w:val="00FD0751"/>
    <w:rsid w:val="00FD20A0"/>
    <w:rsid w:val="00FD2EE9"/>
    <w:rsid w:val="00FD424F"/>
    <w:rsid w:val="00FD493E"/>
    <w:rsid w:val="00FD6501"/>
    <w:rsid w:val="00FE22E4"/>
    <w:rsid w:val="00FE6745"/>
    <w:rsid w:val="00FE7133"/>
    <w:rsid w:val="00FF17B1"/>
    <w:rsid w:val="00FF18EA"/>
    <w:rsid w:val="00FF26C9"/>
    <w:rsid w:val="00FF5226"/>
    <w:rsid w:val="00FF59CA"/>
    <w:rsid w:val="00FF704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stroke="f">
      <v:fill color="white"/>
      <v:stroke on="f"/>
      <v:textbox style="layout-flow:vertical"/>
    </o:shapedefaults>
    <o:shapelayout v:ext="edit">
      <o:idmap v:ext="edit" data="2"/>
    </o:shapelayout>
  </w:shapeDefaults>
  <w:decimalSymbol w:val="."/>
  <w:listSeparator w:val=","/>
  <w14:docId w14:val="7EE6D0A8"/>
  <w15:docId w15:val="{210A89A2-02BE-483C-819C-29D887FCCC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169D"/>
    <w:rPr>
      <w:rFonts w:cs="Traditional Arabic"/>
      <w:noProof/>
    </w:rPr>
  </w:style>
  <w:style w:type="paragraph" w:styleId="Heading1">
    <w:name w:val="heading 1"/>
    <w:basedOn w:val="Normal"/>
    <w:next w:val="Normal"/>
    <w:qFormat/>
    <w:rsid w:val="00CA169D"/>
    <w:pPr>
      <w:keepNext/>
      <w:bidi/>
      <w:jc w:val="both"/>
      <w:outlineLvl w:val="0"/>
    </w:pPr>
    <w:rPr>
      <w:rFonts w:cs="Nazanin"/>
      <w:b/>
      <w:bCs/>
      <w:sz w:val="16"/>
      <w:szCs w:val="16"/>
    </w:rPr>
  </w:style>
  <w:style w:type="paragraph" w:styleId="Heading2">
    <w:name w:val="heading 2"/>
    <w:basedOn w:val="Normal"/>
    <w:next w:val="Normal"/>
    <w:qFormat/>
    <w:rsid w:val="00CA169D"/>
    <w:pPr>
      <w:keepNext/>
      <w:bidi/>
      <w:jc w:val="center"/>
      <w:outlineLvl w:val="1"/>
    </w:pPr>
    <w:rPr>
      <w:rFonts w:cs="Mitra"/>
      <w:b/>
      <w:bCs/>
      <w:sz w:val="24"/>
      <w:szCs w:val="24"/>
    </w:rPr>
  </w:style>
  <w:style w:type="paragraph" w:styleId="Heading3">
    <w:name w:val="heading 3"/>
    <w:basedOn w:val="Normal"/>
    <w:next w:val="Normal"/>
    <w:qFormat/>
    <w:rsid w:val="00CA169D"/>
    <w:pPr>
      <w:keepNext/>
      <w:bidi/>
      <w:jc w:val="both"/>
      <w:outlineLvl w:val="2"/>
    </w:pPr>
    <w:rPr>
      <w:rFonts w:cs="Nazanin"/>
      <w:b/>
      <w:bCs/>
      <w:sz w:val="24"/>
      <w:szCs w:val="24"/>
    </w:rPr>
  </w:style>
  <w:style w:type="paragraph" w:styleId="Heading4">
    <w:name w:val="heading 4"/>
    <w:basedOn w:val="Normal"/>
    <w:next w:val="Normal"/>
    <w:qFormat/>
    <w:rsid w:val="00CA169D"/>
    <w:pPr>
      <w:keepNext/>
      <w:bidi/>
      <w:outlineLvl w:val="3"/>
    </w:pPr>
    <w:rPr>
      <w:rFonts w:cs="Nazanin"/>
      <w:b/>
      <w:bCs/>
      <w:sz w:val="24"/>
      <w:szCs w:val="24"/>
    </w:rPr>
  </w:style>
  <w:style w:type="paragraph" w:styleId="Heading5">
    <w:name w:val="heading 5"/>
    <w:basedOn w:val="Normal"/>
    <w:next w:val="Normal"/>
    <w:qFormat/>
    <w:rsid w:val="0002405D"/>
    <w:pPr>
      <w:spacing w:before="240" w:after="60"/>
      <w:outlineLvl w:val="4"/>
    </w:pPr>
    <w:rPr>
      <w:b/>
      <w:bCs/>
      <w:i/>
      <w:iCs/>
      <w:sz w:val="26"/>
      <w:szCs w:val="26"/>
    </w:rPr>
  </w:style>
  <w:style w:type="paragraph" w:styleId="Heading9">
    <w:name w:val="heading 9"/>
    <w:basedOn w:val="Normal"/>
    <w:next w:val="Normal"/>
    <w:qFormat/>
    <w:rsid w:val="00317F6E"/>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CA169D"/>
    <w:pPr>
      <w:bidi/>
      <w:jc w:val="center"/>
    </w:pPr>
    <w:rPr>
      <w:rFonts w:cs="Mitra"/>
      <w:b/>
      <w:bCs/>
      <w:sz w:val="36"/>
      <w:szCs w:val="36"/>
    </w:rPr>
  </w:style>
  <w:style w:type="paragraph" w:styleId="FootnoteText">
    <w:name w:val="footnote text"/>
    <w:basedOn w:val="Normal"/>
    <w:link w:val="FootnoteTextChar"/>
    <w:semiHidden/>
    <w:rsid w:val="00CA169D"/>
  </w:style>
  <w:style w:type="character" w:styleId="FootnoteReference">
    <w:name w:val="footnote reference"/>
    <w:semiHidden/>
    <w:rsid w:val="00CA169D"/>
    <w:rPr>
      <w:vertAlign w:val="superscript"/>
    </w:rPr>
  </w:style>
  <w:style w:type="character" w:styleId="Hyperlink">
    <w:name w:val="Hyperlink"/>
    <w:rsid w:val="00CA169D"/>
    <w:rPr>
      <w:color w:val="0000FF"/>
      <w:u w:val="single"/>
    </w:rPr>
  </w:style>
  <w:style w:type="paragraph" w:styleId="BodyText">
    <w:name w:val="Body Text"/>
    <w:basedOn w:val="Normal"/>
    <w:rsid w:val="00CA169D"/>
    <w:pPr>
      <w:bidi/>
      <w:jc w:val="both"/>
    </w:pPr>
    <w:rPr>
      <w:rFonts w:cs="Nazanin"/>
      <w:sz w:val="24"/>
      <w:szCs w:val="24"/>
    </w:rPr>
  </w:style>
  <w:style w:type="paragraph" w:styleId="BodyText2">
    <w:name w:val="Body Text 2"/>
    <w:basedOn w:val="Normal"/>
    <w:rsid w:val="00CA169D"/>
    <w:pPr>
      <w:bidi/>
      <w:jc w:val="center"/>
    </w:pPr>
    <w:rPr>
      <w:rFonts w:cs="Nazanin"/>
      <w:b/>
      <w:bCs/>
      <w:sz w:val="14"/>
      <w:szCs w:val="14"/>
    </w:rPr>
  </w:style>
  <w:style w:type="paragraph" w:styleId="BodyTextIndent">
    <w:name w:val="Body Text Indent"/>
    <w:basedOn w:val="Normal"/>
    <w:rsid w:val="00CA169D"/>
    <w:pPr>
      <w:bidi/>
      <w:ind w:firstLine="440"/>
      <w:jc w:val="both"/>
    </w:pPr>
    <w:rPr>
      <w:rFonts w:cs="Nazanin"/>
      <w:sz w:val="24"/>
      <w:szCs w:val="24"/>
    </w:rPr>
  </w:style>
  <w:style w:type="paragraph" w:styleId="Header">
    <w:name w:val="header"/>
    <w:basedOn w:val="Normal"/>
    <w:link w:val="HeaderChar"/>
    <w:uiPriority w:val="99"/>
    <w:rsid w:val="00CA169D"/>
    <w:pPr>
      <w:tabs>
        <w:tab w:val="center" w:pos="4153"/>
        <w:tab w:val="right" w:pos="8306"/>
      </w:tabs>
      <w:bidi/>
    </w:pPr>
    <w:rPr>
      <w:rFonts w:cs="Lotus"/>
      <w:noProof w:val="0"/>
      <w:snapToGrid w:val="0"/>
      <w:sz w:val="18"/>
    </w:rPr>
  </w:style>
  <w:style w:type="paragraph" w:styleId="BodyText3">
    <w:name w:val="Body Text 3"/>
    <w:basedOn w:val="Normal"/>
    <w:rsid w:val="00CA169D"/>
    <w:pPr>
      <w:bidi/>
      <w:jc w:val="both"/>
    </w:pPr>
  </w:style>
  <w:style w:type="paragraph" w:customStyle="1" w:styleId="a">
    <w:name w:val="متن"/>
    <w:basedOn w:val="Normal"/>
    <w:rsid w:val="00317F6E"/>
    <w:pPr>
      <w:widowControl w:val="0"/>
      <w:bidi/>
      <w:ind w:firstLine="284"/>
      <w:jc w:val="lowKashida"/>
    </w:pPr>
    <w:rPr>
      <w:rFonts w:cs="Lotus"/>
      <w:noProof w:val="0"/>
      <w:sz w:val="28"/>
      <w:szCs w:val="28"/>
    </w:rPr>
  </w:style>
  <w:style w:type="paragraph" w:styleId="Footer">
    <w:name w:val="footer"/>
    <w:basedOn w:val="Normal"/>
    <w:link w:val="FooterChar"/>
    <w:uiPriority w:val="99"/>
    <w:rsid w:val="00A26AAF"/>
    <w:pPr>
      <w:tabs>
        <w:tab w:val="center" w:pos="4320"/>
        <w:tab w:val="right" w:pos="8640"/>
      </w:tabs>
    </w:pPr>
  </w:style>
  <w:style w:type="paragraph" w:customStyle="1" w:styleId="Titletext">
    <w:name w:val="Title_text"/>
    <w:basedOn w:val="Normal"/>
    <w:rsid w:val="00540284"/>
    <w:pPr>
      <w:jc w:val="center"/>
    </w:pPr>
    <w:rPr>
      <w:rFonts w:ascii="Arial" w:hAnsi="Arial" w:cs="Times New Roman"/>
      <w:b/>
      <w:noProof w:val="0"/>
      <w:sz w:val="36"/>
      <w:lang w:val="en-GB"/>
    </w:rPr>
  </w:style>
  <w:style w:type="paragraph" w:customStyle="1" w:styleId="author">
    <w:name w:val="author"/>
    <w:basedOn w:val="Normal"/>
    <w:rsid w:val="00540284"/>
    <w:pPr>
      <w:jc w:val="center"/>
    </w:pPr>
    <w:rPr>
      <w:rFonts w:eastAsia="MS Mincho" w:cs="Times New Roman"/>
      <w:b/>
      <w:noProof w:val="0"/>
      <w:sz w:val="28"/>
      <w:szCs w:val="24"/>
    </w:rPr>
  </w:style>
  <w:style w:type="paragraph" w:customStyle="1" w:styleId="address">
    <w:name w:val="address"/>
    <w:basedOn w:val="Normal"/>
    <w:rsid w:val="00540284"/>
    <w:pPr>
      <w:jc w:val="center"/>
    </w:pPr>
    <w:rPr>
      <w:rFonts w:eastAsia="MS Mincho" w:cs="Times New Roman"/>
      <w:b/>
      <w:noProof w:val="0"/>
      <w:szCs w:val="24"/>
    </w:rPr>
  </w:style>
  <w:style w:type="table" w:styleId="TableGrid">
    <w:name w:val="Table Grid"/>
    <w:basedOn w:val="TableNormal"/>
    <w:rsid w:val="00AF0F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B453B5"/>
    <w:rPr>
      <w:rFonts w:ascii="Tahoma" w:hAnsi="Tahoma" w:cs="Tahoma"/>
      <w:sz w:val="16"/>
      <w:szCs w:val="16"/>
    </w:rPr>
  </w:style>
  <w:style w:type="paragraph" w:customStyle="1" w:styleId="body2">
    <w:name w:val="body2"/>
    <w:basedOn w:val="BodyText"/>
    <w:rsid w:val="0002405D"/>
    <w:pPr>
      <w:widowControl w:val="0"/>
      <w:spacing w:line="216" w:lineRule="auto"/>
      <w:ind w:firstLine="397"/>
    </w:pPr>
    <w:rPr>
      <w:rFonts w:cs="Zar"/>
      <w:noProof w:val="0"/>
      <w:szCs w:val="28"/>
    </w:rPr>
  </w:style>
  <w:style w:type="paragraph" w:customStyle="1" w:styleId="paragraph">
    <w:name w:val="paragraph"/>
    <w:basedOn w:val="Normal"/>
    <w:link w:val="paragraphChar"/>
    <w:rsid w:val="0002405D"/>
    <w:pPr>
      <w:bidi/>
      <w:spacing w:line="240" w:lineRule="atLeast"/>
      <w:jc w:val="both"/>
    </w:pPr>
    <w:rPr>
      <w:rFonts w:cs="Nazanin"/>
      <w:sz w:val="24"/>
      <w:szCs w:val="24"/>
    </w:rPr>
  </w:style>
  <w:style w:type="paragraph" w:customStyle="1" w:styleId="equation">
    <w:name w:val="equation"/>
    <w:basedOn w:val="BodyText2"/>
    <w:rsid w:val="0002405D"/>
    <w:pPr>
      <w:spacing w:line="520" w:lineRule="atLeast"/>
      <w:jc w:val="both"/>
    </w:pPr>
    <w:rPr>
      <w:b w:val="0"/>
      <w:bCs w:val="0"/>
      <w:color w:val="000000"/>
      <w:sz w:val="24"/>
      <w:szCs w:val="24"/>
    </w:rPr>
  </w:style>
  <w:style w:type="character" w:customStyle="1" w:styleId="paragraphChar">
    <w:name w:val="paragraph Char"/>
    <w:link w:val="paragraph"/>
    <w:rsid w:val="0002405D"/>
    <w:rPr>
      <w:rFonts w:cs="Nazanin"/>
      <w:noProof/>
      <w:sz w:val="24"/>
      <w:szCs w:val="24"/>
      <w:lang w:val="en-US" w:eastAsia="en-US" w:bidi="ar-SA"/>
    </w:rPr>
  </w:style>
  <w:style w:type="paragraph" w:customStyle="1" w:styleId="Equation0">
    <w:name w:val="Equation"/>
    <w:next w:val="FNormal"/>
    <w:rsid w:val="00EF68A1"/>
    <w:pPr>
      <w:spacing w:before="60" w:after="60"/>
      <w:ind w:left="170" w:hanging="170"/>
    </w:pPr>
    <w:rPr>
      <w:rFonts w:cs="Yagut"/>
      <w:szCs w:val="22"/>
    </w:rPr>
  </w:style>
  <w:style w:type="paragraph" w:customStyle="1" w:styleId="FNormal">
    <w:name w:val="FNormal"/>
    <w:basedOn w:val="Normal"/>
    <w:next w:val="Normal"/>
    <w:link w:val="FNormalCharChar"/>
    <w:rsid w:val="00EF68A1"/>
    <w:pPr>
      <w:widowControl w:val="0"/>
      <w:bidi/>
      <w:spacing w:line="228" w:lineRule="auto"/>
      <w:jc w:val="lowKashida"/>
    </w:pPr>
    <w:rPr>
      <w:rFonts w:cs="Yagut"/>
      <w:noProof w:val="0"/>
      <w:szCs w:val="22"/>
      <w:lang w:bidi="fa-IR"/>
    </w:rPr>
  </w:style>
  <w:style w:type="character" w:customStyle="1" w:styleId="FNormalCharChar">
    <w:name w:val="FNormal Char Char"/>
    <w:link w:val="FNormal"/>
    <w:rsid w:val="00EF68A1"/>
    <w:rPr>
      <w:rFonts w:cs="Yagut"/>
      <w:szCs w:val="22"/>
      <w:lang w:val="en-US" w:eastAsia="en-US" w:bidi="fa-IR"/>
    </w:rPr>
  </w:style>
  <w:style w:type="character" w:styleId="PageNumber">
    <w:name w:val="page number"/>
    <w:basedOn w:val="DefaultParagraphFont"/>
    <w:rsid w:val="00224DA0"/>
  </w:style>
  <w:style w:type="paragraph" w:customStyle="1" w:styleId="equationnum">
    <w:name w:val="equationnum"/>
    <w:basedOn w:val="Normal"/>
    <w:next w:val="Normal"/>
    <w:autoRedefine/>
    <w:rsid w:val="003B52CF"/>
    <w:pPr>
      <w:tabs>
        <w:tab w:val="right" w:pos="4253"/>
      </w:tabs>
      <w:overflowPunct w:val="0"/>
      <w:autoSpaceDE w:val="0"/>
      <w:autoSpaceDN w:val="0"/>
      <w:adjustRightInd w:val="0"/>
      <w:textAlignment w:val="baseline"/>
    </w:pPr>
    <w:rPr>
      <w:rFonts w:cs="Times New Roman"/>
      <w:noProof w:val="0"/>
      <w:sz w:val="22"/>
      <w:szCs w:val="22"/>
      <w:lang w:bidi="fa-IR"/>
    </w:rPr>
  </w:style>
  <w:style w:type="paragraph" w:customStyle="1" w:styleId="Refrence">
    <w:name w:val="Refrence"/>
    <w:link w:val="RefrenceChar"/>
    <w:rsid w:val="004612C0"/>
    <w:pPr>
      <w:spacing w:before="120" w:after="120"/>
      <w:jc w:val="both"/>
    </w:pPr>
    <w:rPr>
      <w:rFonts w:cs="Zar"/>
      <w:sz w:val="24"/>
      <w:szCs w:val="28"/>
      <w:lang w:bidi="fa-IR"/>
    </w:rPr>
  </w:style>
  <w:style w:type="character" w:customStyle="1" w:styleId="RefrenceChar">
    <w:name w:val="Refrence Char"/>
    <w:link w:val="Refrence"/>
    <w:rsid w:val="004612C0"/>
    <w:rPr>
      <w:rFonts w:cs="Zar"/>
      <w:sz w:val="24"/>
      <w:szCs w:val="28"/>
      <w:lang w:val="en-US" w:eastAsia="en-US" w:bidi="fa-IR"/>
    </w:rPr>
  </w:style>
  <w:style w:type="character" w:styleId="Strong">
    <w:name w:val="Strong"/>
    <w:qFormat/>
    <w:rsid w:val="00DD3A5B"/>
    <w:rPr>
      <w:b/>
      <w:bCs/>
    </w:rPr>
  </w:style>
  <w:style w:type="character" w:customStyle="1" w:styleId="m">
    <w:name w:val="m"/>
    <w:basedOn w:val="DefaultParagraphFont"/>
    <w:rsid w:val="00D11AB2"/>
  </w:style>
  <w:style w:type="paragraph" w:customStyle="1" w:styleId="Style1">
    <w:name w:val="Style1"/>
    <w:basedOn w:val="Normal"/>
    <w:link w:val="Style1Char"/>
    <w:rsid w:val="005D6B30"/>
    <w:pPr>
      <w:bidi/>
      <w:jc w:val="center"/>
    </w:pPr>
    <w:rPr>
      <w:rFonts w:eastAsia="SimSun" w:cs="B Nazanin"/>
      <w:noProof w:val="0"/>
      <w:sz w:val="24"/>
      <w:szCs w:val="24"/>
      <w:lang w:eastAsia="zh-CN" w:bidi="fa-IR"/>
    </w:rPr>
  </w:style>
  <w:style w:type="character" w:customStyle="1" w:styleId="Style1Char">
    <w:name w:val="Style1 Char"/>
    <w:link w:val="Style1"/>
    <w:rsid w:val="005D6B30"/>
    <w:rPr>
      <w:rFonts w:eastAsia="SimSun" w:cs="B Nazanin"/>
      <w:sz w:val="24"/>
      <w:szCs w:val="24"/>
      <w:lang w:val="en-US" w:eastAsia="zh-CN" w:bidi="fa-IR"/>
    </w:rPr>
  </w:style>
  <w:style w:type="character" w:customStyle="1" w:styleId="FootnoteTextChar">
    <w:name w:val="Footnote Text Char"/>
    <w:link w:val="FootnoteText"/>
    <w:semiHidden/>
    <w:rsid w:val="00F66277"/>
    <w:rPr>
      <w:rFonts w:cs="Traditional Arabic"/>
      <w:noProof/>
      <w:lang w:val="en-US" w:eastAsia="en-US" w:bidi="ar-SA"/>
    </w:rPr>
  </w:style>
  <w:style w:type="paragraph" w:customStyle="1" w:styleId="1">
    <w:name w:val="عنوان1"/>
    <w:basedOn w:val="Normal"/>
    <w:next w:val="Normal"/>
    <w:rsid w:val="00D50638"/>
    <w:pPr>
      <w:widowControl w:val="0"/>
      <w:bidi/>
      <w:jc w:val="center"/>
    </w:pPr>
    <w:rPr>
      <w:rFonts w:ascii="B Nazanin" w:hAnsi="B Nazanin" w:cs="Nazanin"/>
      <w:b/>
      <w:noProof w:val="0"/>
      <w:sz w:val="40"/>
      <w:szCs w:val="40"/>
      <w:lang w:bidi="fa-IR"/>
    </w:rPr>
  </w:style>
  <w:style w:type="character" w:customStyle="1" w:styleId="CharChar">
    <w:name w:val="Char Char"/>
    <w:semiHidden/>
    <w:rsid w:val="00D50638"/>
    <w:rPr>
      <w:rFonts w:cs="Mitra Mazar"/>
      <w:bCs/>
      <w:lang w:val="en-US" w:eastAsia="en-US" w:bidi="ar-SA"/>
    </w:rPr>
  </w:style>
  <w:style w:type="paragraph" w:customStyle="1" w:styleId="abstract">
    <w:name w:val="abstract"/>
    <w:basedOn w:val="BodyText"/>
    <w:rsid w:val="0091048C"/>
    <w:pPr>
      <w:spacing w:line="220" w:lineRule="atLeast"/>
      <w:ind w:left="709" w:right="709"/>
      <w:jc w:val="lowKashida"/>
    </w:pPr>
    <w:rPr>
      <w:sz w:val="22"/>
      <w:szCs w:val="22"/>
    </w:rPr>
  </w:style>
  <w:style w:type="paragraph" w:customStyle="1" w:styleId="CharCharCharCharCharCharChar">
    <w:name w:val="Char Char Char Char Char Char Char"/>
    <w:basedOn w:val="Normal"/>
    <w:semiHidden/>
    <w:rsid w:val="0042085B"/>
    <w:pPr>
      <w:spacing w:after="160" w:line="240" w:lineRule="exact"/>
    </w:pPr>
    <w:rPr>
      <w:rFonts w:ascii="Verdana" w:hAnsi="Verdana" w:cs="Times New Roman"/>
      <w:noProof w:val="0"/>
      <w:lang w:bidi="he-IL"/>
    </w:rPr>
  </w:style>
  <w:style w:type="paragraph" w:customStyle="1" w:styleId="Paragraph0">
    <w:name w:val="Paragraph"/>
    <w:basedOn w:val="Normal"/>
    <w:link w:val="ParagraphChar0"/>
    <w:autoRedefine/>
    <w:rsid w:val="00B44A51"/>
    <w:pPr>
      <w:overflowPunct w:val="0"/>
      <w:autoSpaceDE w:val="0"/>
      <w:autoSpaceDN w:val="0"/>
      <w:bidi/>
      <w:adjustRightInd w:val="0"/>
      <w:jc w:val="both"/>
      <w:textAlignment w:val="baseline"/>
    </w:pPr>
    <w:rPr>
      <w:rFonts w:cs="Nazanin"/>
      <w:i/>
      <w:noProof w:val="0"/>
      <w:lang w:bidi="fa-IR"/>
    </w:rPr>
  </w:style>
  <w:style w:type="paragraph" w:customStyle="1" w:styleId="Abstract0">
    <w:name w:val="Abstract"/>
    <w:basedOn w:val="Normal"/>
    <w:link w:val="AbstractChar"/>
    <w:autoRedefine/>
    <w:rsid w:val="00B44A51"/>
    <w:pPr>
      <w:bidi/>
      <w:spacing w:before="180" w:after="180"/>
      <w:jc w:val="both"/>
    </w:pPr>
    <w:rPr>
      <w:rFonts w:cs="B Nazanin"/>
      <w:bCs/>
      <w:i/>
      <w:noProof w:val="0"/>
      <w:sz w:val="18"/>
    </w:rPr>
  </w:style>
  <w:style w:type="character" w:customStyle="1" w:styleId="AbstractChar">
    <w:name w:val="Abstract Char"/>
    <w:link w:val="Abstract0"/>
    <w:rsid w:val="00B44A51"/>
    <w:rPr>
      <w:rFonts w:cs="B Nazanin"/>
      <w:bCs/>
      <w:i/>
      <w:sz w:val="18"/>
      <w:lang w:val="en-US" w:eastAsia="en-US" w:bidi="ar-SA"/>
    </w:rPr>
  </w:style>
  <w:style w:type="character" w:customStyle="1" w:styleId="ParagraphChar0">
    <w:name w:val="Paragraph Char"/>
    <w:link w:val="Paragraph0"/>
    <w:rsid w:val="00B44A51"/>
    <w:rPr>
      <w:rFonts w:cs="Nazanin"/>
      <w:i/>
      <w:lang w:val="en-US" w:eastAsia="en-US" w:bidi="fa-IR"/>
    </w:rPr>
  </w:style>
  <w:style w:type="character" w:customStyle="1" w:styleId="TitleChar">
    <w:name w:val="Title Char"/>
    <w:link w:val="Title"/>
    <w:rsid w:val="00B44A51"/>
    <w:rPr>
      <w:rFonts w:cs="Mitra"/>
      <w:b/>
      <w:bCs/>
      <w:noProof/>
      <w:sz w:val="36"/>
      <w:szCs w:val="36"/>
      <w:lang w:val="en-US" w:eastAsia="en-US" w:bidi="ar-SA"/>
    </w:rPr>
  </w:style>
  <w:style w:type="paragraph" w:styleId="EndnoteText">
    <w:name w:val="endnote text"/>
    <w:basedOn w:val="Normal"/>
    <w:semiHidden/>
    <w:unhideWhenUsed/>
    <w:rsid w:val="003A5912"/>
    <w:rPr>
      <w:rFonts w:ascii="Calibri" w:eastAsia="Calibri" w:hAnsi="Calibri" w:cs="Arial"/>
      <w:noProof w:val="0"/>
    </w:rPr>
  </w:style>
  <w:style w:type="character" w:styleId="EndnoteReference">
    <w:name w:val="endnote reference"/>
    <w:semiHidden/>
    <w:unhideWhenUsed/>
    <w:rsid w:val="003A5912"/>
    <w:rPr>
      <w:vertAlign w:val="superscript"/>
    </w:rPr>
  </w:style>
  <w:style w:type="character" w:styleId="Emphasis">
    <w:name w:val="Emphasis"/>
    <w:qFormat/>
    <w:rsid w:val="003A5912"/>
    <w:rPr>
      <w:i/>
      <w:iCs/>
    </w:rPr>
  </w:style>
  <w:style w:type="character" w:customStyle="1" w:styleId="HeaderChar">
    <w:name w:val="Header Char"/>
    <w:link w:val="Header"/>
    <w:uiPriority w:val="99"/>
    <w:rsid w:val="00D14553"/>
    <w:rPr>
      <w:rFonts w:cs="Lotus"/>
      <w:snapToGrid w:val="0"/>
      <w:sz w:val="18"/>
    </w:rPr>
  </w:style>
  <w:style w:type="character" w:customStyle="1" w:styleId="FooterChar">
    <w:name w:val="Footer Char"/>
    <w:link w:val="Footer"/>
    <w:uiPriority w:val="99"/>
    <w:rsid w:val="002357B0"/>
    <w:rPr>
      <w:rFonts w:cs="Traditional Arabic"/>
      <w:noProof/>
    </w:rPr>
  </w:style>
  <w:style w:type="paragraph" w:customStyle="1" w:styleId="msotagline">
    <w:name w:val="msotagline"/>
    <w:rsid w:val="00B4352A"/>
    <w:rPr>
      <w:rFonts w:ascii="Franklin Gothic Demi Cond" w:hAnsi="Franklin Gothic Demi Cond"/>
      <w:color w:val="FFFFFF"/>
      <w:spacing w:val="40"/>
      <w:kern w:val="28"/>
      <w:sz w:val="18"/>
      <w:szCs w:val="18"/>
    </w:rPr>
  </w:style>
  <w:style w:type="character" w:styleId="UnresolvedMention">
    <w:name w:val="Unresolved Mention"/>
    <w:basedOn w:val="DefaultParagraphFont"/>
    <w:uiPriority w:val="99"/>
    <w:semiHidden/>
    <w:unhideWhenUsed/>
    <w:rsid w:val="00747DF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104581">
      <w:bodyDiv w:val="1"/>
      <w:marLeft w:val="0"/>
      <w:marRight w:val="0"/>
      <w:marTop w:val="0"/>
      <w:marBottom w:val="0"/>
      <w:divBdr>
        <w:top w:val="none" w:sz="0" w:space="0" w:color="auto"/>
        <w:left w:val="none" w:sz="0" w:space="0" w:color="auto"/>
        <w:bottom w:val="none" w:sz="0" w:space="0" w:color="auto"/>
        <w:right w:val="none" w:sz="0" w:space="0" w:color="auto"/>
      </w:divBdr>
    </w:div>
    <w:div w:id="46103436">
      <w:bodyDiv w:val="1"/>
      <w:marLeft w:val="0"/>
      <w:marRight w:val="0"/>
      <w:marTop w:val="0"/>
      <w:marBottom w:val="0"/>
      <w:divBdr>
        <w:top w:val="none" w:sz="0" w:space="0" w:color="auto"/>
        <w:left w:val="none" w:sz="0" w:space="0" w:color="auto"/>
        <w:bottom w:val="none" w:sz="0" w:space="0" w:color="auto"/>
        <w:right w:val="none" w:sz="0" w:space="0" w:color="auto"/>
      </w:divBdr>
    </w:div>
    <w:div w:id="57703533">
      <w:bodyDiv w:val="1"/>
      <w:marLeft w:val="0"/>
      <w:marRight w:val="0"/>
      <w:marTop w:val="0"/>
      <w:marBottom w:val="0"/>
      <w:divBdr>
        <w:top w:val="none" w:sz="0" w:space="0" w:color="auto"/>
        <w:left w:val="none" w:sz="0" w:space="0" w:color="auto"/>
        <w:bottom w:val="none" w:sz="0" w:space="0" w:color="auto"/>
        <w:right w:val="none" w:sz="0" w:space="0" w:color="auto"/>
      </w:divBdr>
    </w:div>
    <w:div w:id="101340441">
      <w:bodyDiv w:val="1"/>
      <w:marLeft w:val="0"/>
      <w:marRight w:val="0"/>
      <w:marTop w:val="0"/>
      <w:marBottom w:val="0"/>
      <w:divBdr>
        <w:top w:val="none" w:sz="0" w:space="0" w:color="auto"/>
        <w:left w:val="none" w:sz="0" w:space="0" w:color="auto"/>
        <w:bottom w:val="none" w:sz="0" w:space="0" w:color="auto"/>
        <w:right w:val="none" w:sz="0" w:space="0" w:color="auto"/>
      </w:divBdr>
    </w:div>
    <w:div w:id="364524714">
      <w:bodyDiv w:val="1"/>
      <w:marLeft w:val="0"/>
      <w:marRight w:val="0"/>
      <w:marTop w:val="0"/>
      <w:marBottom w:val="0"/>
      <w:divBdr>
        <w:top w:val="none" w:sz="0" w:space="0" w:color="auto"/>
        <w:left w:val="none" w:sz="0" w:space="0" w:color="auto"/>
        <w:bottom w:val="none" w:sz="0" w:space="0" w:color="auto"/>
        <w:right w:val="none" w:sz="0" w:space="0" w:color="auto"/>
      </w:divBdr>
    </w:div>
    <w:div w:id="367418597">
      <w:bodyDiv w:val="1"/>
      <w:marLeft w:val="0"/>
      <w:marRight w:val="0"/>
      <w:marTop w:val="0"/>
      <w:marBottom w:val="0"/>
      <w:divBdr>
        <w:top w:val="none" w:sz="0" w:space="0" w:color="auto"/>
        <w:left w:val="none" w:sz="0" w:space="0" w:color="auto"/>
        <w:bottom w:val="none" w:sz="0" w:space="0" w:color="auto"/>
        <w:right w:val="none" w:sz="0" w:space="0" w:color="auto"/>
      </w:divBdr>
    </w:div>
    <w:div w:id="387993440">
      <w:bodyDiv w:val="1"/>
      <w:marLeft w:val="0"/>
      <w:marRight w:val="0"/>
      <w:marTop w:val="0"/>
      <w:marBottom w:val="0"/>
      <w:divBdr>
        <w:top w:val="none" w:sz="0" w:space="0" w:color="auto"/>
        <w:left w:val="none" w:sz="0" w:space="0" w:color="auto"/>
        <w:bottom w:val="none" w:sz="0" w:space="0" w:color="auto"/>
        <w:right w:val="none" w:sz="0" w:space="0" w:color="auto"/>
      </w:divBdr>
    </w:div>
    <w:div w:id="487475499">
      <w:bodyDiv w:val="1"/>
      <w:marLeft w:val="0"/>
      <w:marRight w:val="0"/>
      <w:marTop w:val="0"/>
      <w:marBottom w:val="0"/>
      <w:divBdr>
        <w:top w:val="none" w:sz="0" w:space="0" w:color="auto"/>
        <w:left w:val="none" w:sz="0" w:space="0" w:color="auto"/>
        <w:bottom w:val="none" w:sz="0" w:space="0" w:color="auto"/>
        <w:right w:val="none" w:sz="0" w:space="0" w:color="auto"/>
      </w:divBdr>
    </w:div>
    <w:div w:id="573079080">
      <w:bodyDiv w:val="1"/>
      <w:marLeft w:val="0"/>
      <w:marRight w:val="0"/>
      <w:marTop w:val="0"/>
      <w:marBottom w:val="0"/>
      <w:divBdr>
        <w:top w:val="none" w:sz="0" w:space="0" w:color="auto"/>
        <w:left w:val="none" w:sz="0" w:space="0" w:color="auto"/>
        <w:bottom w:val="none" w:sz="0" w:space="0" w:color="auto"/>
        <w:right w:val="none" w:sz="0" w:space="0" w:color="auto"/>
      </w:divBdr>
    </w:div>
    <w:div w:id="587033874">
      <w:bodyDiv w:val="1"/>
      <w:marLeft w:val="0"/>
      <w:marRight w:val="0"/>
      <w:marTop w:val="0"/>
      <w:marBottom w:val="0"/>
      <w:divBdr>
        <w:top w:val="none" w:sz="0" w:space="0" w:color="auto"/>
        <w:left w:val="none" w:sz="0" w:space="0" w:color="auto"/>
        <w:bottom w:val="none" w:sz="0" w:space="0" w:color="auto"/>
        <w:right w:val="none" w:sz="0" w:space="0" w:color="auto"/>
      </w:divBdr>
    </w:div>
    <w:div w:id="590283307">
      <w:bodyDiv w:val="1"/>
      <w:marLeft w:val="0"/>
      <w:marRight w:val="0"/>
      <w:marTop w:val="0"/>
      <w:marBottom w:val="0"/>
      <w:divBdr>
        <w:top w:val="none" w:sz="0" w:space="0" w:color="auto"/>
        <w:left w:val="none" w:sz="0" w:space="0" w:color="auto"/>
        <w:bottom w:val="none" w:sz="0" w:space="0" w:color="auto"/>
        <w:right w:val="none" w:sz="0" w:space="0" w:color="auto"/>
      </w:divBdr>
    </w:div>
    <w:div w:id="616109677">
      <w:bodyDiv w:val="1"/>
      <w:marLeft w:val="0"/>
      <w:marRight w:val="0"/>
      <w:marTop w:val="0"/>
      <w:marBottom w:val="0"/>
      <w:divBdr>
        <w:top w:val="none" w:sz="0" w:space="0" w:color="auto"/>
        <w:left w:val="none" w:sz="0" w:space="0" w:color="auto"/>
        <w:bottom w:val="none" w:sz="0" w:space="0" w:color="auto"/>
        <w:right w:val="none" w:sz="0" w:space="0" w:color="auto"/>
      </w:divBdr>
    </w:div>
    <w:div w:id="628782546">
      <w:bodyDiv w:val="1"/>
      <w:marLeft w:val="0"/>
      <w:marRight w:val="0"/>
      <w:marTop w:val="0"/>
      <w:marBottom w:val="0"/>
      <w:divBdr>
        <w:top w:val="none" w:sz="0" w:space="0" w:color="auto"/>
        <w:left w:val="none" w:sz="0" w:space="0" w:color="auto"/>
        <w:bottom w:val="none" w:sz="0" w:space="0" w:color="auto"/>
        <w:right w:val="none" w:sz="0" w:space="0" w:color="auto"/>
      </w:divBdr>
    </w:div>
    <w:div w:id="668364170">
      <w:bodyDiv w:val="1"/>
      <w:marLeft w:val="0"/>
      <w:marRight w:val="0"/>
      <w:marTop w:val="0"/>
      <w:marBottom w:val="0"/>
      <w:divBdr>
        <w:top w:val="none" w:sz="0" w:space="0" w:color="auto"/>
        <w:left w:val="none" w:sz="0" w:space="0" w:color="auto"/>
        <w:bottom w:val="none" w:sz="0" w:space="0" w:color="auto"/>
        <w:right w:val="none" w:sz="0" w:space="0" w:color="auto"/>
      </w:divBdr>
    </w:div>
    <w:div w:id="700397947">
      <w:bodyDiv w:val="1"/>
      <w:marLeft w:val="0"/>
      <w:marRight w:val="0"/>
      <w:marTop w:val="0"/>
      <w:marBottom w:val="0"/>
      <w:divBdr>
        <w:top w:val="none" w:sz="0" w:space="0" w:color="auto"/>
        <w:left w:val="none" w:sz="0" w:space="0" w:color="auto"/>
        <w:bottom w:val="none" w:sz="0" w:space="0" w:color="auto"/>
        <w:right w:val="none" w:sz="0" w:space="0" w:color="auto"/>
      </w:divBdr>
    </w:div>
    <w:div w:id="723679604">
      <w:bodyDiv w:val="1"/>
      <w:marLeft w:val="0"/>
      <w:marRight w:val="0"/>
      <w:marTop w:val="0"/>
      <w:marBottom w:val="0"/>
      <w:divBdr>
        <w:top w:val="none" w:sz="0" w:space="0" w:color="auto"/>
        <w:left w:val="none" w:sz="0" w:space="0" w:color="auto"/>
        <w:bottom w:val="none" w:sz="0" w:space="0" w:color="auto"/>
        <w:right w:val="none" w:sz="0" w:space="0" w:color="auto"/>
      </w:divBdr>
    </w:div>
    <w:div w:id="774403366">
      <w:bodyDiv w:val="1"/>
      <w:marLeft w:val="0"/>
      <w:marRight w:val="0"/>
      <w:marTop w:val="0"/>
      <w:marBottom w:val="0"/>
      <w:divBdr>
        <w:top w:val="none" w:sz="0" w:space="0" w:color="auto"/>
        <w:left w:val="none" w:sz="0" w:space="0" w:color="auto"/>
        <w:bottom w:val="none" w:sz="0" w:space="0" w:color="auto"/>
        <w:right w:val="none" w:sz="0" w:space="0" w:color="auto"/>
      </w:divBdr>
    </w:div>
    <w:div w:id="812989093">
      <w:bodyDiv w:val="1"/>
      <w:marLeft w:val="0"/>
      <w:marRight w:val="0"/>
      <w:marTop w:val="0"/>
      <w:marBottom w:val="0"/>
      <w:divBdr>
        <w:top w:val="none" w:sz="0" w:space="0" w:color="auto"/>
        <w:left w:val="none" w:sz="0" w:space="0" w:color="auto"/>
        <w:bottom w:val="none" w:sz="0" w:space="0" w:color="auto"/>
        <w:right w:val="none" w:sz="0" w:space="0" w:color="auto"/>
      </w:divBdr>
    </w:div>
    <w:div w:id="853299053">
      <w:bodyDiv w:val="1"/>
      <w:marLeft w:val="0"/>
      <w:marRight w:val="0"/>
      <w:marTop w:val="0"/>
      <w:marBottom w:val="0"/>
      <w:divBdr>
        <w:top w:val="none" w:sz="0" w:space="0" w:color="auto"/>
        <w:left w:val="none" w:sz="0" w:space="0" w:color="auto"/>
        <w:bottom w:val="none" w:sz="0" w:space="0" w:color="auto"/>
        <w:right w:val="none" w:sz="0" w:space="0" w:color="auto"/>
      </w:divBdr>
    </w:div>
    <w:div w:id="867177618">
      <w:bodyDiv w:val="1"/>
      <w:marLeft w:val="0"/>
      <w:marRight w:val="0"/>
      <w:marTop w:val="0"/>
      <w:marBottom w:val="0"/>
      <w:divBdr>
        <w:top w:val="none" w:sz="0" w:space="0" w:color="auto"/>
        <w:left w:val="none" w:sz="0" w:space="0" w:color="auto"/>
        <w:bottom w:val="none" w:sz="0" w:space="0" w:color="auto"/>
        <w:right w:val="none" w:sz="0" w:space="0" w:color="auto"/>
      </w:divBdr>
    </w:div>
    <w:div w:id="868108170">
      <w:bodyDiv w:val="1"/>
      <w:marLeft w:val="0"/>
      <w:marRight w:val="0"/>
      <w:marTop w:val="0"/>
      <w:marBottom w:val="0"/>
      <w:divBdr>
        <w:top w:val="none" w:sz="0" w:space="0" w:color="auto"/>
        <w:left w:val="none" w:sz="0" w:space="0" w:color="auto"/>
        <w:bottom w:val="none" w:sz="0" w:space="0" w:color="auto"/>
        <w:right w:val="none" w:sz="0" w:space="0" w:color="auto"/>
      </w:divBdr>
    </w:div>
    <w:div w:id="883641898">
      <w:bodyDiv w:val="1"/>
      <w:marLeft w:val="0"/>
      <w:marRight w:val="0"/>
      <w:marTop w:val="0"/>
      <w:marBottom w:val="0"/>
      <w:divBdr>
        <w:top w:val="none" w:sz="0" w:space="0" w:color="auto"/>
        <w:left w:val="none" w:sz="0" w:space="0" w:color="auto"/>
        <w:bottom w:val="none" w:sz="0" w:space="0" w:color="auto"/>
        <w:right w:val="none" w:sz="0" w:space="0" w:color="auto"/>
      </w:divBdr>
    </w:div>
    <w:div w:id="1021395669">
      <w:bodyDiv w:val="1"/>
      <w:marLeft w:val="0"/>
      <w:marRight w:val="0"/>
      <w:marTop w:val="0"/>
      <w:marBottom w:val="0"/>
      <w:divBdr>
        <w:top w:val="none" w:sz="0" w:space="0" w:color="auto"/>
        <w:left w:val="none" w:sz="0" w:space="0" w:color="auto"/>
        <w:bottom w:val="none" w:sz="0" w:space="0" w:color="auto"/>
        <w:right w:val="none" w:sz="0" w:space="0" w:color="auto"/>
      </w:divBdr>
    </w:div>
    <w:div w:id="1117988763">
      <w:bodyDiv w:val="1"/>
      <w:marLeft w:val="0"/>
      <w:marRight w:val="0"/>
      <w:marTop w:val="0"/>
      <w:marBottom w:val="0"/>
      <w:divBdr>
        <w:top w:val="none" w:sz="0" w:space="0" w:color="auto"/>
        <w:left w:val="none" w:sz="0" w:space="0" w:color="auto"/>
        <w:bottom w:val="none" w:sz="0" w:space="0" w:color="auto"/>
        <w:right w:val="none" w:sz="0" w:space="0" w:color="auto"/>
      </w:divBdr>
    </w:div>
    <w:div w:id="1135568130">
      <w:bodyDiv w:val="1"/>
      <w:marLeft w:val="0"/>
      <w:marRight w:val="0"/>
      <w:marTop w:val="0"/>
      <w:marBottom w:val="0"/>
      <w:divBdr>
        <w:top w:val="none" w:sz="0" w:space="0" w:color="auto"/>
        <w:left w:val="none" w:sz="0" w:space="0" w:color="auto"/>
        <w:bottom w:val="none" w:sz="0" w:space="0" w:color="auto"/>
        <w:right w:val="none" w:sz="0" w:space="0" w:color="auto"/>
      </w:divBdr>
    </w:div>
    <w:div w:id="1149438943">
      <w:bodyDiv w:val="1"/>
      <w:marLeft w:val="0"/>
      <w:marRight w:val="0"/>
      <w:marTop w:val="0"/>
      <w:marBottom w:val="0"/>
      <w:divBdr>
        <w:top w:val="none" w:sz="0" w:space="0" w:color="auto"/>
        <w:left w:val="none" w:sz="0" w:space="0" w:color="auto"/>
        <w:bottom w:val="none" w:sz="0" w:space="0" w:color="auto"/>
        <w:right w:val="none" w:sz="0" w:space="0" w:color="auto"/>
      </w:divBdr>
    </w:div>
    <w:div w:id="1209149266">
      <w:bodyDiv w:val="1"/>
      <w:marLeft w:val="0"/>
      <w:marRight w:val="0"/>
      <w:marTop w:val="0"/>
      <w:marBottom w:val="0"/>
      <w:divBdr>
        <w:top w:val="none" w:sz="0" w:space="0" w:color="auto"/>
        <w:left w:val="none" w:sz="0" w:space="0" w:color="auto"/>
        <w:bottom w:val="none" w:sz="0" w:space="0" w:color="auto"/>
        <w:right w:val="none" w:sz="0" w:space="0" w:color="auto"/>
      </w:divBdr>
    </w:div>
    <w:div w:id="1294796502">
      <w:bodyDiv w:val="1"/>
      <w:marLeft w:val="0"/>
      <w:marRight w:val="0"/>
      <w:marTop w:val="0"/>
      <w:marBottom w:val="0"/>
      <w:divBdr>
        <w:top w:val="none" w:sz="0" w:space="0" w:color="auto"/>
        <w:left w:val="none" w:sz="0" w:space="0" w:color="auto"/>
        <w:bottom w:val="none" w:sz="0" w:space="0" w:color="auto"/>
        <w:right w:val="none" w:sz="0" w:space="0" w:color="auto"/>
      </w:divBdr>
    </w:div>
    <w:div w:id="1345354758">
      <w:bodyDiv w:val="1"/>
      <w:marLeft w:val="0"/>
      <w:marRight w:val="0"/>
      <w:marTop w:val="0"/>
      <w:marBottom w:val="0"/>
      <w:divBdr>
        <w:top w:val="none" w:sz="0" w:space="0" w:color="auto"/>
        <w:left w:val="none" w:sz="0" w:space="0" w:color="auto"/>
        <w:bottom w:val="none" w:sz="0" w:space="0" w:color="auto"/>
        <w:right w:val="none" w:sz="0" w:space="0" w:color="auto"/>
      </w:divBdr>
    </w:div>
    <w:div w:id="1469594127">
      <w:bodyDiv w:val="1"/>
      <w:marLeft w:val="0"/>
      <w:marRight w:val="0"/>
      <w:marTop w:val="0"/>
      <w:marBottom w:val="0"/>
      <w:divBdr>
        <w:top w:val="none" w:sz="0" w:space="0" w:color="auto"/>
        <w:left w:val="none" w:sz="0" w:space="0" w:color="auto"/>
        <w:bottom w:val="none" w:sz="0" w:space="0" w:color="auto"/>
        <w:right w:val="none" w:sz="0" w:space="0" w:color="auto"/>
      </w:divBdr>
    </w:div>
    <w:div w:id="1490292149">
      <w:bodyDiv w:val="1"/>
      <w:marLeft w:val="0"/>
      <w:marRight w:val="0"/>
      <w:marTop w:val="0"/>
      <w:marBottom w:val="0"/>
      <w:divBdr>
        <w:top w:val="none" w:sz="0" w:space="0" w:color="auto"/>
        <w:left w:val="none" w:sz="0" w:space="0" w:color="auto"/>
        <w:bottom w:val="none" w:sz="0" w:space="0" w:color="auto"/>
        <w:right w:val="none" w:sz="0" w:space="0" w:color="auto"/>
      </w:divBdr>
    </w:div>
    <w:div w:id="1688751471">
      <w:bodyDiv w:val="1"/>
      <w:marLeft w:val="0"/>
      <w:marRight w:val="0"/>
      <w:marTop w:val="0"/>
      <w:marBottom w:val="0"/>
      <w:divBdr>
        <w:top w:val="none" w:sz="0" w:space="0" w:color="auto"/>
        <w:left w:val="none" w:sz="0" w:space="0" w:color="auto"/>
        <w:bottom w:val="none" w:sz="0" w:space="0" w:color="auto"/>
        <w:right w:val="none" w:sz="0" w:space="0" w:color="auto"/>
      </w:divBdr>
    </w:div>
    <w:div w:id="1759790230">
      <w:bodyDiv w:val="1"/>
      <w:marLeft w:val="0"/>
      <w:marRight w:val="0"/>
      <w:marTop w:val="0"/>
      <w:marBottom w:val="0"/>
      <w:divBdr>
        <w:top w:val="none" w:sz="0" w:space="0" w:color="auto"/>
        <w:left w:val="none" w:sz="0" w:space="0" w:color="auto"/>
        <w:bottom w:val="none" w:sz="0" w:space="0" w:color="auto"/>
        <w:right w:val="none" w:sz="0" w:space="0" w:color="auto"/>
      </w:divBdr>
    </w:div>
    <w:div w:id="1789083680">
      <w:bodyDiv w:val="1"/>
      <w:marLeft w:val="0"/>
      <w:marRight w:val="0"/>
      <w:marTop w:val="0"/>
      <w:marBottom w:val="0"/>
      <w:divBdr>
        <w:top w:val="none" w:sz="0" w:space="0" w:color="auto"/>
        <w:left w:val="none" w:sz="0" w:space="0" w:color="auto"/>
        <w:bottom w:val="none" w:sz="0" w:space="0" w:color="auto"/>
        <w:right w:val="none" w:sz="0" w:space="0" w:color="auto"/>
      </w:divBdr>
    </w:div>
    <w:div w:id="1830554320">
      <w:bodyDiv w:val="1"/>
      <w:marLeft w:val="0"/>
      <w:marRight w:val="0"/>
      <w:marTop w:val="0"/>
      <w:marBottom w:val="0"/>
      <w:divBdr>
        <w:top w:val="none" w:sz="0" w:space="0" w:color="auto"/>
        <w:left w:val="none" w:sz="0" w:space="0" w:color="auto"/>
        <w:bottom w:val="none" w:sz="0" w:space="0" w:color="auto"/>
        <w:right w:val="none" w:sz="0" w:space="0" w:color="auto"/>
      </w:divBdr>
    </w:div>
    <w:div w:id="1858228622">
      <w:bodyDiv w:val="1"/>
      <w:marLeft w:val="0"/>
      <w:marRight w:val="0"/>
      <w:marTop w:val="0"/>
      <w:marBottom w:val="0"/>
      <w:divBdr>
        <w:top w:val="none" w:sz="0" w:space="0" w:color="auto"/>
        <w:left w:val="none" w:sz="0" w:space="0" w:color="auto"/>
        <w:bottom w:val="none" w:sz="0" w:space="0" w:color="auto"/>
        <w:right w:val="none" w:sz="0" w:space="0" w:color="auto"/>
      </w:divBdr>
    </w:div>
    <w:div w:id="1870529703">
      <w:bodyDiv w:val="1"/>
      <w:marLeft w:val="0"/>
      <w:marRight w:val="0"/>
      <w:marTop w:val="0"/>
      <w:marBottom w:val="0"/>
      <w:divBdr>
        <w:top w:val="none" w:sz="0" w:space="0" w:color="auto"/>
        <w:left w:val="none" w:sz="0" w:space="0" w:color="auto"/>
        <w:bottom w:val="none" w:sz="0" w:space="0" w:color="auto"/>
        <w:right w:val="none" w:sz="0" w:space="0" w:color="auto"/>
      </w:divBdr>
    </w:div>
    <w:div w:id="1944075189">
      <w:bodyDiv w:val="1"/>
      <w:marLeft w:val="0"/>
      <w:marRight w:val="0"/>
      <w:marTop w:val="0"/>
      <w:marBottom w:val="0"/>
      <w:divBdr>
        <w:top w:val="none" w:sz="0" w:space="0" w:color="auto"/>
        <w:left w:val="none" w:sz="0" w:space="0" w:color="auto"/>
        <w:bottom w:val="none" w:sz="0" w:space="0" w:color="auto"/>
        <w:right w:val="none" w:sz="0" w:space="0" w:color="auto"/>
      </w:divBdr>
    </w:div>
    <w:div w:id="204960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A1D334-44A0-4330-98F3-98A4FF0BFA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5</Pages>
  <Words>2363</Words>
  <Characters>15647</Characters>
  <Application>Microsoft Office Word</Application>
  <DocSecurity>0</DocSecurity>
  <Lines>274</Lines>
  <Paragraphs>114</Paragraphs>
  <ScaleCrop>false</ScaleCrop>
  <HeadingPairs>
    <vt:vector size="2" baseType="variant">
      <vt:variant>
        <vt:lpstr>Title</vt:lpstr>
      </vt:variant>
      <vt:variant>
        <vt:i4>1</vt:i4>
      </vt:variant>
    </vt:vector>
  </HeadingPairs>
  <TitlesOfParts>
    <vt:vector size="1" baseType="lpstr">
      <vt:lpstr>temp</vt:lpstr>
    </vt:vector>
  </TitlesOfParts>
  <Company>Tehran Ploy Technic</Company>
  <LinksUpToDate>false</LinksUpToDate>
  <CharactersWithSpaces>17896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dc:title>
  <dc:creator>NCME</dc:creator>
  <cp:lastModifiedBy>Negah</cp:lastModifiedBy>
  <cp:revision>29</cp:revision>
  <cp:lastPrinted>2007-05-16T03:26:00Z</cp:lastPrinted>
  <dcterms:created xsi:type="dcterms:W3CDTF">2024-02-26T10:03:00Z</dcterms:created>
  <dcterms:modified xsi:type="dcterms:W3CDTF">2025-11-09T19:58:00Z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c801dcd9-bff2-46ff-8998-e9abb28d28cb</vt:lpwstr>
  </property>
</Properties>
</file>